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02B18" w14:textId="77777777"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073C24">
        <w:rPr>
          <w:lang w:val="sl-SI" w:eastAsia="en-US"/>
        </w:rPr>
        <w:t>Elektroprivreda Crne Gore AD Nikšić objavljuje</w:t>
      </w:r>
    </w:p>
    <w:p w14:paraId="2431F037" w14:textId="77777777"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14:paraId="2AD9462D" w14:textId="77777777"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14:paraId="6C65EECF" w14:textId="77777777"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14:paraId="1D875976" w14:textId="77777777"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14:paraId="6C7FCAD2" w14:textId="77777777"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14:paraId="7D94DB03" w14:textId="77777777"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14:paraId="52A304B0" w14:textId="77777777"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52F7C4DB" w14:textId="77777777" w:rsidR="00C25CE3" w:rsidRPr="00CE0AD9" w:rsidRDefault="00C25CE3" w:rsidP="00CE0AD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8659DF">
        <w:rPr>
          <w:lang w:val="sl-SI" w:eastAsia="en-US"/>
        </w:rPr>
        <w:t xml:space="preserve"> nastao u HE Peru</w:t>
      </w:r>
      <w:r w:rsidR="008659DF">
        <w:rPr>
          <w:lang w:val="sr-Latn-ME" w:eastAsia="en-US"/>
        </w:rPr>
        <w:t>ći</w:t>
      </w:r>
      <w:r w:rsidR="008659DF">
        <w:rPr>
          <w:lang w:val="sl-SI" w:eastAsia="en-US"/>
        </w:rPr>
        <w:t>ca</w:t>
      </w:r>
      <w:r w:rsidRPr="00CE0AD9">
        <w:rPr>
          <w:lang w:val="sl-SI" w:eastAsia="en-US"/>
        </w:rPr>
        <w:t xml:space="preserve">,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p w14:paraId="0647D523" w14:textId="77777777"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104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73"/>
        <w:gridCol w:w="3960"/>
        <w:gridCol w:w="990"/>
        <w:gridCol w:w="990"/>
        <w:gridCol w:w="990"/>
        <w:gridCol w:w="990"/>
      </w:tblGrid>
      <w:tr w:rsidR="005801CA" w:rsidRPr="00073C24" w14:paraId="5A23A04D" w14:textId="77777777" w:rsidTr="00780191">
        <w:trPr>
          <w:trHeight w:val="1541"/>
        </w:trPr>
        <w:tc>
          <w:tcPr>
            <w:tcW w:w="561" w:type="dxa"/>
            <w:shd w:val="clear" w:color="auto" w:fill="auto"/>
            <w:vAlign w:val="center"/>
          </w:tcPr>
          <w:p w14:paraId="0CC84F73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Rb.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B9C96F0" w14:textId="77777777" w:rsidR="005801CA" w:rsidRPr="00073C24" w:rsidRDefault="005801CA" w:rsidP="00545568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 xml:space="preserve">Opis predmeta nabavke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1575CD0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Bitne karakteristike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90797E" w14:textId="77777777" w:rsidR="005801CA" w:rsidRPr="00073C24" w:rsidRDefault="00073C24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Kol.</w:t>
            </w:r>
          </w:p>
        </w:tc>
        <w:tc>
          <w:tcPr>
            <w:tcW w:w="990" w:type="dxa"/>
            <w:vAlign w:val="center"/>
          </w:tcPr>
          <w:p w14:paraId="7491C01F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16844DF0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6CAEC095" w14:textId="77777777" w:rsidR="005801CA" w:rsidRPr="00073C24" w:rsidRDefault="00073C24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Jed.</w:t>
            </w:r>
            <w:r w:rsidR="005801CA" w:rsidRPr="00073C24">
              <w:rPr>
                <w:b/>
                <w:color w:val="000000" w:themeColor="text1"/>
              </w:rPr>
              <w:t xml:space="preserve"> mjere</w:t>
            </w:r>
          </w:p>
        </w:tc>
        <w:tc>
          <w:tcPr>
            <w:tcW w:w="990" w:type="dxa"/>
          </w:tcPr>
          <w:p w14:paraId="071F1083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4DC93925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3BA22C30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Cijena/kg bez PDV-a</w:t>
            </w:r>
          </w:p>
          <w:p w14:paraId="57860EEB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4CF73346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4276DF78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6567CCAB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Ukupno bez PDV-a</w:t>
            </w:r>
          </w:p>
        </w:tc>
      </w:tr>
      <w:tr w:rsidR="005801CA" w:rsidRPr="00073C24" w14:paraId="046338B5" w14:textId="77777777" w:rsidTr="00780191">
        <w:trPr>
          <w:trHeight w:val="1688"/>
        </w:trPr>
        <w:tc>
          <w:tcPr>
            <w:tcW w:w="561" w:type="dxa"/>
            <w:shd w:val="clear" w:color="auto" w:fill="auto"/>
            <w:vAlign w:val="center"/>
          </w:tcPr>
          <w:p w14:paraId="23C97E32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1.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3FAFDF0" w14:textId="77777777" w:rsidR="005801CA" w:rsidRPr="00073C24" w:rsidRDefault="005801CA" w:rsidP="00C01291">
            <w:pPr>
              <w:jc w:val="both"/>
              <w:rPr>
                <w:color w:val="000000" w:themeColor="text1"/>
                <w:lang w:val="en-GB"/>
              </w:rPr>
            </w:pPr>
            <w:r w:rsidRPr="00073C24">
              <w:rPr>
                <w:color w:val="000000" w:themeColor="text1"/>
              </w:rPr>
              <w:t xml:space="preserve">Kabasti otpad – kancelarisjki namještaj, </w:t>
            </w:r>
            <w:r w:rsidRPr="00073C24">
              <w:rPr>
                <w:color w:val="000000" w:themeColor="text1"/>
                <w:u w:val="single"/>
              </w:rPr>
              <w:t>šifra otpada 20 03 07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EEC9563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>Stolica – komada 17</w:t>
            </w:r>
          </w:p>
          <w:p w14:paraId="652BCF74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  <w:lang w:val="en-GB"/>
              </w:rPr>
            </w:pPr>
            <w:r w:rsidRPr="00073C24">
              <w:rPr>
                <w:color w:val="000000" w:themeColor="text1"/>
              </w:rPr>
              <w:t>(Plastika</w:t>
            </w:r>
            <w:r w:rsidRPr="00073C24">
              <w:rPr>
                <w:color w:val="000000" w:themeColor="text1"/>
                <w:lang w:val="en-GB"/>
              </w:rPr>
              <w:t xml:space="preserve">: 10kg; </w:t>
            </w:r>
            <w:r w:rsidRPr="00073C24">
              <w:rPr>
                <w:color w:val="000000" w:themeColor="text1"/>
                <w:lang w:val="sr-Latn-ME"/>
              </w:rPr>
              <w:t>Željezo: 8kg)</w:t>
            </w:r>
            <w:r w:rsidRPr="00073C24">
              <w:t xml:space="preserve"> </w:t>
            </w:r>
            <w:r w:rsidRPr="00073C24">
              <w:rPr>
                <w:color w:val="000000" w:themeColor="text1"/>
                <w:lang w:val="sr-Latn-ME"/>
              </w:rPr>
              <w:t>; Ormar komada – 1(30kg)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Sto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</w:t>
            </w:r>
            <w:r w:rsidRPr="00073C24">
              <w:rPr>
                <w:color w:val="000000" w:themeColor="text1"/>
                <w:lang w:val="sr-Latn-ME"/>
              </w:rPr>
              <w:t>(20kg)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Fotelja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(5kg);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Stolica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73C24">
              <w:rPr>
                <w:color w:val="000000" w:themeColor="text1"/>
                <w:lang w:val="en-GB"/>
              </w:rPr>
              <w:t>rashod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2020 - 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  (</w:t>
            </w:r>
            <w:proofErr w:type="spellStart"/>
            <w:r w:rsidRPr="00073C24">
              <w:rPr>
                <w:color w:val="000000" w:themeColor="text1"/>
                <w:lang w:val="en-GB"/>
              </w:rPr>
              <w:t>Plastika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: 2kg; </w:t>
            </w:r>
            <w:r w:rsidRPr="00073C24">
              <w:rPr>
                <w:color w:val="000000" w:themeColor="text1"/>
                <w:lang w:val="sr-Latn-ME"/>
              </w:rPr>
              <w:t>Željezo</w:t>
            </w:r>
            <w:r w:rsidRPr="00073C24">
              <w:rPr>
                <w:color w:val="000000" w:themeColor="text1"/>
                <w:lang w:val="en-GB"/>
              </w:rPr>
              <w:t xml:space="preserve">: (3 kg); </w:t>
            </w:r>
            <w:r w:rsidRPr="00073C24">
              <w:t>Kancelarijski sto – kom. 7 (160 kg); Komoda (15 kg)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C282D6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300</w:t>
            </w:r>
          </w:p>
        </w:tc>
        <w:tc>
          <w:tcPr>
            <w:tcW w:w="990" w:type="dxa"/>
            <w:vAlign w:val="center"/>
          </w:tcPr>
          <w:p w14:paraId="11959BFA" w14:textId="7F174B71" w:rsidR="005801CA" w:rsidRPr="00073C24" w:rsidRDefault="00C6160F" w:rsidP="00C6160F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</w:t>
            </w:r>
            <w:r w:rsidR="005801CA" w:rsidRP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338D843D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5716D766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22524996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49DDB7B0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59DCBD9E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801CA" w:rsidRPr="00073C24" w14:paraId="5E2A6C52" w14:textId="77777777" w:rsidTr="00780191">
        <w:trPr>
          <w:trHeight w:val="1255"/>
        </w:trPr>
        <w:tc>
          <w:tcPr>
            <w:tcW w:w="561" w:type="dxa"/>
            <w:shd w:val="clear" w:color="auto" w:fill="auto"/>
            <w:vAlign w:val="center"/>
          </w:tcPr>
          <w:p w14:paraId="6D833737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2.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DEA3369" w14:textId="77777777" w:rsidR="005801CA" w:rsidRPr="00073C24" w:rsidRDefault="005801CA" w:rsidP="00C01291">
            <w:pPr>
              <w:jc w:val="both"/>
              <w:rPr>
                <w:color w:val="000000" w:themeColor="text1"/>
                <w:lang w:val="sr-Latn-ME"/>
              </w:rPr>
            </w:pPr>
            <w:r w:rsidRPr="00073C24">
              <w:rPr>
                <w:color w:val="000000" w:themeColor="text1"/>
              </w:rPr>
              <w:t>Odba</w:t>
            </w:r>
            <w:r w:rsidRPr="00073C24">
              <w:rPr>
                <w:color w:val="000000" w:themeColor="text1"/>
                <w:lang w:val="sr-Latn-ME"/>
              </w:rPr>
              <w:t xml:space="preserve">čena električna i elektronska oprema, </w:t>
            </w:r>
            <w:r w:rsidRPr="00073C24">
              <w:rPr>
                <w:color w:val="000000" w:themeColor="text1"/>
                <w:u w:val="single"/>
                <w:lang w:val="sr-Latn-ME"/>
              </w:rPr>
              <w:t>šifra otpada 16 02 14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CC33BDA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>Odvodnici prenapona 110 Kv – 5 kom (porcelan 200kg, željezo 50kg) Kondezator – 2 kom. (porcelan 80kg, željezo 20kg) Potporni izolator rastavljača električnog kočenja – 2 kom. (porcelan 80kg, željezo 20kg) Potporni izolator izlaznog rastavljača – 2 kom (porcelan 80kg, željezo 20kg)</w:t>
            </w:r>
          </w:p>
          <w:p w14:paraId="68DC0BEF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>Frižider – komada 2 (željezo 30kg)</w:t>
            </w:r>
          </w:p>
          <w:p w14:paraId="5CC2C5D6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  <w:lang w:val="sr-Latn-ME"/>
              </w:rPr>
            </w:pPr>
            <w:r w:rsidRPr="00073C24">
              <w:rPr>
                <w:color w:val="000000" w:themeColor="text1"/>
              </w:rPr>
              <w:t>Štampač – komada 6 (55 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r w:rsidRPr="00073C24">
              <w:rPr>
                <w:color w:val="000000" w:themeColor="text1"/>
                <w:lang w:val="sr-Latn-ME"/>
              </w:rPr>
              <w:t>Šporet komada 2 (20 kg)</w:t>
            </w:r>
          </w:p>
          <w:p w14:paraId="372C7FCE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  <w:lang w:val="sr-Latn-ME"/>
              </w:rPr>
            </w:pPr>
            <w:r w:rsidRPr="00073C24">
              <w:rPr>
                <w:color w:val="000000" w:themeColor="text1"/>
                <w:lang w:val="sr-Latn-ME"/>
              </w:rPr>
              <w:t>Televizor – komada 1 (8 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Usisiva</w:t>
            </w:r>
            <w:proofErr w:type="spellEnd"/>
            <w:r w:rsidRPr="00073C24">
              <w:rPr>
                <w:color w:val="000000" w:themeColor="text1"/>
                <w:lang w:val="sr-Latn-ME"/>
              </w:rPr>
              <w:t>č – komada 1 (5 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Aparat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za </w:t>
            </w:r>
            <w:proofErr w:type="spellStart"/>
            <w:r w:rsidRPr="00073C24">
              <w:rPr>
                <w:color w:val="000000" w:themeColor="text1"/>
                <w:lang w:val="en-GB"/>
              </w:rPr>
              <w:t>pranje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Karcher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HD 6/16-4 M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</w:t>
            </w:r>
            <w:proofErr w:type="spellStart"/>
            <w:r w:rsidRPr="00073C24">
              <w:rPr>
                <w:color w:val="000000" w:themeColor="text1"/>
                <w:lang w:val="en-GB"/>
              </w:rPr>
              <w:t>Plastika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: 5 kg; </w:t>
            </w:r>
            <w:r w:rsidRPr="00073C24">
              <w:rPr>
                <w:color w:val="000000" w:themeColor="text1"/>
                <w:lang w:val="sr-Latn-ME"/>
              </w:rPr>
              <w:t>Željezo</w:t>
            </w:r>
            <w:r w:rsidRPr="00073C24">
              <w:rPr>
                <w:color w:val="000000" w:themeColor="text1"/>
                <w:lang w:val="en-GB"/>
              </w:rPr>
              <w:t xml:space="preserve">: 2 kg); Laptop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(3 kg);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Mobilni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73C24">
              <w:rPr>
                <w:color w:val="000000" w:themeColor="text1"/>
                <w:lang w:val="en-GB"/>
              </w:rPr>
              <w:t>telefon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Radijator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 (5kg); Trimer-</w:t>
            </w:r>
            <w:proofErr w:type="spellStart"/>
            <w:r w:rsidRPr="00073C24">
              <w:rPr>
                <w:color w:val="000000" w:themeColor="text1"/>
                <w:lang w:val="en-GB"/>
              </w:rPr>
              <w:t>Husquarna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235R </w:t>
            </w:r>
            <w:proofErr w:type="spellStart"/>
            <w:r w:rsidRPr="00073C24">
              <w:rPr>
                <w:color w:val="000000" w:themeColor="text1"/>
                <w:lang w:val="en-GB"/>
              </w:rPr>
              <w:t>rashod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2020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</w:t>
            </w:r>
            <w:proofErr w:type="spellStart"/>
            <w:r w:rsidRPr="00073C24">
              <w:rPr>
                <w:color w:val="000000" w:themeColor="text1"/>
                <w:lang w:val="en-GB"/>
              </w:rPr>
              <w:t>Plastika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: 3 kg; </w:t>
            </w:r>
            <w:r w:rsidRPr="00073C24">
              <w:rPr>
                <w:color w:val="000000" w:themeColor="text1"/>
                <w:lang w:val="sr-Latn-ME"/>
              </w:rPr>
              <w:t>Že</w:t>
            </w:r>
            <w:proofErr w:type="spellStart"/>
            <w:r w:rsidRPr="00073C24">
              <w:rPr>
                <w:color w:val="000000" w:themeColor="text1"/>
                <w:lang w:val="en-GB"/>
              </w:rPr>
              <w:t>ljezo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: 5 kg); TA </w:t>
            </w:r>
            <w:proofErr w:type="spellStart"/>
            <w:r w:rsidRPr="00073C24">
              <w:rPr>
                <w:color w:val="000000" w:themeColor="text1"/>
                <w:lang w:val="en-GB"/>
              </w:rPr>
              <w:t>Pe</w:t>
            </w:r>
            <w:proofErr w:type="spellEnd"/>
            <w:r w:rsidRPr="00073C24">
              <w:rPr>
                <w:color w:val="000000" w:themeColor="text1"/>
                <w:lang w:val="sr-Latn-ME"/>
              </w:rPr>
              <w:t>ć rashod 2020 – komada 1 (5 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Kompresor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8-13bar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(10 kg); Laptop </w:t>
            </w:r>
            <w:proofErr w:type="spellStart"/>
            <w:r w:rsidRPr="00073C24">
              <w:rPr>
                <w:color w:val="000000" w:themeColor="text1"/>
                <w:lang w:val="en-GB"/>
              </w:rPr>
              <w:t>rashod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2020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(3 kg) ; </w:t>
            </w:r>
            <w:r w:rsidRPr="00073C24">
              <w:t xml:space="preserve">Klima uređaj (unutrašnja i spoljna jedinica) (40 kg); Monitor (22 </w:t>
            </w:r>
            <w:r w:rsidRPr="00073C24">
              <w:lastRenderedPageBreak/>
              <w:t>kg), UPS (15 kg); Tastatura 6 kom; 2xPC napajanje; Litijumske baterije za UPS 12V,9Ah – 5 kom. KVM svič 1 kom.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2FCC3D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lastRenderedPageBreak/>
              <w:t>800</w:t>
            </w:r>
          </w:p>
        </w:tc>
        <w:tc>
          <w:tcPr>
            <w:tcW w:w="990" w:type="dxa"/>
            <w:vAlign w:val="center"/>
          </w:tcPr>
          <w:p w14:paraId="03EA2437" w14:textId="3BB61F1E" w:rsidR="005801CA" w:rsidRPr="00073C24" w:rsidRDefault="00C6160F" w:rsidP="00C6160F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</w:t>
            </w:r>
            <w:r w:rsidR="005801CA" w:rsidRP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487BF3EC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56498970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801CA" w:rsidRPr="00073C24" w14:paraId="629471C8" w14:textId="77777777" w:rsidTr="00780191">
        <w:trPr>
          <w:trHeight w:val="1541"/>
        </w:trPr>
        <w:tc>
          <w:tcPr>
            <w:tcW w:w="561" w:type="dxa"/>
            <w:shd w:val="clear" w:color="auto" w:fill="auto"/>
            <w:vAlign w:val="center"/>
          </w:tcPr>
          <w:p w14:paraId="1C8A6F71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3.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5E1F9E0" w14:textId="77777777" w:rsidR="005801CA" w:rsidRPr="00073C24" w:rsidRDefault="005801CA" w:rsidP="00C01291">
            <w:pPr>
              <w:jc w:val="both"/>
              <w:rPr>
                <w:b/>
                <w:color w:val="000000" w:themeColor="text1"/>
                <w:lang w:val="en-GB"/>
              </w:rPr>
            </w:pPr>
            <w:r w:rsidRPr="00073C24">
              <w:rPr>
                <w:color w:val="000000" w:themeColor="text1"/>
              </w:rPr>
              <w:t xml:space="preserve">Energetski blok transformator, </w:t>
            </w:r>
            <w:r w:rsidRPr="00073C24">
              <w:rPr>
                <w:color w:val="000000" w:themeColor="text1"/>
                <w:u w:val="single"/>
              </w:rPr>
              <w:t>šifra otpada 16 02 13</w:t>
            </w:r>
            <w:r w:rsidRPr="00073C24">
              <w:rPr>
                <w:color w:val="000000" w:themeColor="text1"/>
                <w:u w:val="single"/>
                <w:lang w:val="en-GB"/>
              </w:rPr>
              <w:t>*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93BC637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  <w:lang w:val="en-GB"/>
              </w:rPr>
            </w:pPr>
            <w:r w:rsidRPr="00073C24">
              <w:rPr>
                <w:color w:val="000000" w:themeColor="text1"/>
              </w:rPr>
              <w:t xml:space="preserve">Energetski blok transformator ulje: 13000kg, </w:t>
            </w:r>
            <w:r w:rsidRPr="00073C24">
              <w:rPr>
                <w:color w:val="000000" w:themeColor="text1"/>
                <w:lang w:val="sr-Latn-ME"/>
              </w:rPr>
              <w:t>željezo: 45500kg, bakar</w:t>
            </w:r>
            <w:r w:rsidRPr="00073C24">
              <w:rPr>
                <w:color w:val="000000" w:themeColor="text1"/>
                <w:lang w:val="en-GB"/>
              </w:rPr>
              <w:t xml:space="preserve">: 6500kg, porcelain </w:t>
            </w:r>
            <w:proofErr w:type="spellStart"/>
            <w:r w:rsidRPr="00073C24">
              <w:rPr>
                <w:color w:val="000000" w:themeColor="text1"/>
                <w:lang w:val="en-GB"/>
              </w:rPr>
              <w:t>zauljani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73C24">
              <w:rPr>
                <w:color w:val="000000" w:themeColor="text1"/>
                <w:lang w:val="en-GB"/>
              </w:rPr>
              <w:t>papir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, </w:t>
            </w:r>
            <w:proofErr w:type="spellStart"/>
            <w:r w:rsidRPr="00073C24">
              <w:rPr>
                <w:color w:val="000000" w:themeColor="text1"/>
                <w:lang w:val="en-GB"/>
              </w:rPr>
              <w:t>drvo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4000kg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2FFC88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69000</w:t>
            </w:r>
          </w:p>
        </w:tc>
        <w:tc>
          <w:tcPr>
            <w:tcW w:w="990" w:type="dxa"/>
            <w:vAlign w:val="center"/>
          </w:tcPr>
          <w:p w14:paraId="6CF7AAFF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</w:p>
          <w:p w14:paraId="7467DE50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4FC88FA2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5C3B1B55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801CA" w:rsidRPr="00073C24" w14:paraId="6E094BBB" w14:textId="77777777" w:rsidTr="00780191">
        <w:trPr>
          <w:trHeight w:val="2379"/>
        </w:trPr>
        <w:tc>
          <w:tcPr>
            <w:tcW w:w="561" w:type="dxa"/>
            <w:shd w:val="clear" w:color="auto" w:fill="auto"/>
            <w:vAlign w:val="center"/>
          </w:tcPr>
          <w:p w14:paraId="73DDE0B1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4.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201DABE" w14:textId="77777777" w:rsidR="005801CA" w:rsidRPr="00073C24" w:rsidRDefault="005801CA" w:rsidP="00C012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u w:val="single"/>
                <w:lang w:val="en-GB" w:eastAsia="hu-HU"/>
              </w:rPr>
            </w:pPr>
            <w:proofErr w:type="spellStart"/>
            <w:r w:rsidRPr="00073C24">
              <w:rPr>
                <w:lang w:val="en-GB" w:eastAsia="hu-HU"/>
              </w:rPr>
              <w:t>Materijal</w:t>
            </w:r>
            <w:proofErr w:type="spellEnd"/>
            <w:r w:rsidRPr="00073C24">
              <w:rPr>
                <w:lang w:val="en-GB" w:eastAsia="hu-HU"/>
              </w:rPr>
              <w:t xml:space="preserve"> </w:t>
            </w:r>
            <w:proofErr w:type="spellStart"/>
            <w:r w:rsidRPr="00073C24">
              <w:rPr>
                <w:lang w:val="en-GB" w:eastAsia="hu-HU"/>
              </w:rPr>
              <w:t>rashladnog</w:t>
            </w:r>
            <w:proofErr w:type="spellEnd"/>
            <w:r w:rsidRPr="00073C24">
              <w:rPr>
                <w:lang w:val="en-GB" w:eastAsia="hu-HU"/>
              </w:rPr>
              <w:t xml:space="preserve"> </w:t>
            </w:r>
            <w:proofErr w:type="spellStart"/>
            <w:r w:rsidRPr="00073C24">
              <w:rPr>
                <w:lang w:val="en-GB" w:eastAsia="hu-HU"/>
              </w:rPr>
              <w:t>sistema</w:t>
            </w:r>
            <w:proofErr w:type="spellEnd"/>
            <w:r w:rsidRPr="00073C24">
              <w:rPr>
                <w:lang w:val="en-GB" w:eastAsia="hu-HU"/>
              </w:rPr>
              <w:t xml:space="preserve">, </w:t>
            </w:r>
            <w:r w:rsidRPr="00073C24">
              <w:rPr>
                <w:u w:val="single"/>
                <w:lang w:eastAsia="hu-HU"/>
              </w:rPr>
              <w:t xml:space="preserve">šifra otpada </w:t>
            </w:r>
            <w:r w:rsidRPr="00073C24">
              <w:rPr>
                <w:u w:val="single"/>
                <w:lang w:val="en-GB" w:eastAsia="hu-HU"/>
              </w:rPr>
              <w:t>17 04  05</w:t>
            </w:r>
          </w:p>
          <w:p w14:paraId="3C3168FD" w14:textId="77777777" w:rsidR="005801CA" w:rsidRPr="00073C24" w:rsidRDefault="005801CA" w:rsidP="00C01291">
            <w:pPr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 xml:space="preserve">Strugotine nastale obradom ferometala </w:t>
            </w:r>
            <w:r w:rsidRPr="00073C24">
              <w:rPr>
                <w:color w:val="000000" w:themeColor="text1"/>
                <w:u w:val="single"/>
              </w:rPr>
              <w:t>šifra otpada 12 01 01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E959411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</w:pPr>
            <w:r w:rsidRPr="00073C24">
              <w:t>Čelične bešavne cijevi: DN 250, DN 200, DN 150 i DN 100, PN 6 (2500 kg); Ventili tipa zasun:  DN 250, PN 63 (3000 kg); Pokazivači protoka: DN 200, DN 150 i DN 100, PN 6 (350 kg); Ventili zaporni ravni: DN 80, PN 6 (150 kg)</w:t>
            </w:r>
          </w:p>
          <w:p w14:paraId="5B5E2811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</w:pPr>
          </w:p>
          <w:p w14:paraId="4633F07D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t>Strugotine – 50 kg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9DBCDB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6000</w:t>
            </w:r>
          </w:p>
        </w:tc>
        <w:tc>
          <w:tcPr>
            <w:tcW w:w="990" w:type="dxa"/>
            <w:vAlign w:val="center"/>
          </w:tcPr>
          <w:p w14:paraId="2B630868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</w:p>
          <w:p w14:paraId="1146585F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52B8FF24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1E20DE9F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801CA" w:rsidRPr="00073C24" w14:paraId="765E277C" w14:textId="77777777" w:rsidTr="00780191">
        <w:trPr>
          <w:trHeight w:val="2650"/>
        </w:trPr>
        <w:tc>
          <w:tcPr>
            <w:tcW w:w="561" w:type="dxa"/>
            <w:shd w:val="clear" w:color="auto" w:fill="auto"/>
            <w:vAlign w:val="center"/>
          </w:tcPr>
          <w:p w14:paraId="75AB3A32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5.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4E47458" w14:textId="77777777" w:rsidR="005801CA" w:rsidRPr="00073C24" w:rsidRDefault="005801CA" w:rsidP="00C01291">
            <w:pPr>
              <w:jc w:val="both"/>
            </w:pPr>
            <w:r w:rsidRPr="00073C24">
              <w:t>Bravarija</w:t>
            </w:r>
          </w:p>
          <w:p w14:paraId="0B502844" w14:textId="77777777" w:rsidR="005801CA" w:rsidRPr="00073C24" w:rsidRDefault="005801CA" w:rsidP="00C01291">
            <w:pPr>
              <w:jc w:val="both"/>
              <w:rPr>
                <w:b/>
              </w:rPr>
            </w:pPr>
            <w:r w:rsidRPr="00073C24">
              <w:rPr>
                <w:u w:val="single"/>
              </w:rPr>
              <w:t>šifra otpada 17 04  05</w:t>
            </w:r>
          </w:p>
          <w:p w14:paraId="1D257972" w14:textId="77777777" w:rsidR="005801CA" w:rsidRPr="00073C24" w:rsidRDefault="005801CA" w:rsidP="00C012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1B0BB7E" w14:textId="77777777" w:rsidR="00073C24" w:rsidRDefault="005801CA" w:rsidP="00C01291">
            <w:r w:rsidRPr="00073C24">
              <w:t>Crna bravarija – čelični prozorski profile;</w:t>
            </w:r>
          </w:p>
          <w:p w14:paraId="3415A9A4" w14:textId="77777777" w:rsidR="005801CA" w:rsidRPr="00073C24" w:rsidRDefault="00073C24" w:rsidP="00073C24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>Gotovi prozori i vrata: jednokrilni prozor dim. 100x70 cm i dim. 90x120 cm; trodjelni prozor dim. 165x260 cm; ulazna vrata dim. 170x320 cm</w:t>
            </w:r>
          </w:p>
          <w:p w14:paraId="3E19BC64" w14:textId="77777777" w:rsidR="00073C24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</w:pPr>
            <w:r w:rsidRPr="00073C24">
              <w:t>Olučna horizontal od pocinkovanog plastificiranog lima (250 kg)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5D0A90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1300</w:t>
            </w:r>
          </w:p>
        </w:tc>
        <w:tc>
          <w:tcPr>
            <w:tcW w:w="990" w:type="dxa"/>
            <w:vAlign w:val="center"/>
          </w:tcPr>
          <w:p w14:paraId="619ED426" w14:textId="54D49F7C" w:rsidR="005801CA" w:rsidRPr="00073C24" w:rsidRDefault="00C6160F" w:rsidP="00C6160F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</w:t>
            </w:r>
            <w:r w:rsid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253DAE71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4A59E976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14:paraId="151DB52A" w14:textId="77777777" w:rsidR="00962003" w:rsidRDefault="0096200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W w:w="104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4"/>
        <w:gridCol w:w="3060"/>
      </w:tblGrid>
      <w:tr w:rsidR="005801CA" w:rsidRPr="00351972" w14:paraId="78DC08BA" w14:textId="77777777" w:rsidTr="00D835B9">
        <w:tc>
          <w:tcPr>
            <w:tcW w:w="7394" w:type="dxa"/>
            <w:vAlign w:val="center"/>
          </w:tcPr>
          <w:p w14:paraId="2FBBBC23" w14:textId="77777777" w:rsidR="005801CA" w:rsidRPr="00351972" w:rsidRDefault="005801CA" w:rsidP="00B3010E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  <w:tc>
          <w:tcPr>
            <w:tcW w:w="3060" w:type="dxa"/>
            <w:vAlign w:val="center"/>
          </w:tcPr>
          <w:p w14:paraId="502D672D" w14:textId="77777777" w:rsidR="005801CA" w:rsidRPr="00351972" w:rsidRDefault="005801CA" w:rsidP="00B3010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5801CA" w:rsidRPr="00351972" w14:paraId="6995FA8A" w14:textId="77777777" w:rsidTr="00D835B9">
        <w:tc>
          <w:tcPr>
            <w:tcW w:w="7394" w:type="dxa"/>
            <w:vAlign w:val="center"/>
          </w:tcPr>
          <w:p w14:paraId="2C47D08A" w14:textId="77777777" w:rsidR="005801CA" w:rsidRPr="00351972" w:rsidRDefault="005801CA" w:rsidP="00B3010E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  <w:tc>
          <w:tcPr>
            <w:tcW w:w="3060" w:type="dxa"/>
            <w:vAlign w:val="center"/>
          </w:tcPr>
          <w:p w14:paraId="5A181978" w14:textId="77777777" w:rsidR="005801CA" w:rsidRPr="00351972" w:rsidRDefault="005801CA" w:rsidP="00B3010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5801CA" w:rsidRPr="00351972" w14:paraId="37D5E35D" w14:textId="77777777" w:rsidTr="00D835B9">
        <w:tc>
          <w:tcPr>
            <w:tcW w:w="7394" w:type="dxa"/>
            <w:vAlign w:val="center"/>
          </w:tcPr>
          <w:p w14:paraId="39B97A31" w14:textId="77777777" w:rsidR="005801CA" w:rsidRPr="00351972" w:rsidRDefault="005801CA" w:rsidP="00B3010E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3060" w:type="dxa"/>
            <w:vAlign w:val="center"/>
          </w:tcPr>
          <w:p w14:paraId="1B917F85" w14:textId="77777777" w:rsidR="005801CA" w:rsidRPr="00351972" w:rsidRDefault="005801CA" w:rsidP="00B3010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09A3B2A8" w14:textId="77777777" w:rsid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7C5D7F88" w14:textId="77777777" w:rsidR="0097338C" w:rsidRPr="00277601" w:rsidRDefault="0097338C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68097E4B" w14:textId="77777777" w:rsidR="00287DEC" w:rsidRPr="00C77752" w:rsidRDefault="00820FD6" w:rsidP="00973AB8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C77752">
        <w:rPr>
          <w:b/>
          <w:lang w:val="sl-SI" w:eastAsia="en-US"/>
        </w:rPr>
        <w:t>Napomena:</w:t>
      </w:r>
    </w:p>
    <w:p w14:paraId="4F3EE3FA" w14:textId="2D8F31F0" w:rsidR="00C77752" w:rsidRDefault="00073C24" w:rsidP="00973AB8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073C24">
        <w:rPr>
          <w:lang w:val="sl-SI" w:eastAsia="en-US"/>
        </w:rPr>
        <w:t>Stavka</w:t>
      </w:r>
      <w:r w:rsidR="0076173C" w:rsidRPr="00073C24">
        <w:rPr>
          <w:lang w:val="sl-SI" w:eastAsia="en-US"/>
        </w:rPr>
        <w:t xml:space="preserve"> </w:t>
      </w:r>
      <w:r w:rsidR="00C77752" w:rsidRPr="00073C24">
        <w:rPr>
          <w:lang w:val="sl-SI" w:eastAsia="en-US"/>
        </w:rPr>
        <w:t xml:space="preserve">3: </w:t>
      </w:r>
      <w:r w:rsidRPr="00073C24">
        <w:rPr>
          <w:lang w:val="sl-SI" w:eastAsia="en-US"/>
        </w:rPr>
        <w:t>Minimalna cijena koju ponuđač može ponuditi</w:t>
      </w:r>
      <w:r w:rsidR="006B4C2D">
        <w:rPr>
          <w:lang w:val="sl-SI" w:eastAsia="en-US"/>
        </w:rPr>
        <w:t xml:space="preserve"> za blok transformatora bez ulja</w:t>
      </w:r>
      <w:r w:rsidRPr="00073C24">
        <w:rPr>
          <w:lang w:val="sl-SI" w:eastAsia="en-US"/>
        </w:rPr>
        <w:t xml:space="preserve"> je </w:t>
      </w:r>
      <w:r w:rsidR="000828CF">
        <w:rPr>
          <w:lang w:val="sl-SI" w:eastAsia="en-US"/>
        </w:rPr>
        <w:t>35</w:t>
      </w:r>
      <w:r w:rsidR="0076173C" w:rsidRPr="00073C24">
        <w:rPr>
          <w:lang w:val="sl-SI" w:eastAsia="en-US"/>
        </w:rPr>
        <w:t>.000,00</w:t>
      </w:r>
      <w:r w:rsidR="00C77752" w:rsidRPr="00073C24">
        <w:rPr>
          <w:lang w:val="sl-SI" w:eastAsia="en-US"/>
        </w:rPr>
        <w:t xml:space="preserve"> </w:t>
      </w:r>
      <w:r w:rsidR="000828CF" w:rsidRPr="00351972">
        <w:rPr>
          <w:b/>
          <w:color w:val="000000" w:themeColor="text1"/>
          <w:sz w:val="20"/>
          <w:szCs w:val="20"/>
        </w:rPr>
        <w:t>€</w:t>
      </w:r>
      <w:r w:rsidR="009B0859" w:rsidRPr="00073C24">
        <w:rPr>
          <w:lang w:val="sl-SI" w:eastAsia="en-US"/>
        </w:rPr>
        <w:t xml:space="preserve"> bez PDV-a</w:t>
      </w:r>
      <w:r w:rsidR="00C77752" w:rsidRPr="00073C24">
        <w:rPr>
          <w:lang w:val="sl-SI" w:eastAsia="en-US"/>
        </w:rPr>
        <w:t>;</w:t>
      </w:r>
    </w:p>
    <w:p w14:paraId="43176A7F" w14:textId="5F9981AE" w:rsidR="006B4C2D" w:rsidRPr="00073C24" w:rsidRDefault="006B4C2D" w:rsidP="006B4C2D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6B4C2D">
        <w:rPr>
          <w:lang w:val="sl-SI" w:eastAsia="en-US"/>
        </w:rPr>
        <w:t>Stvarna količina transformatorskog ulja će se utvrditi neposredno prije preuzimanja transformat</w:t>
      </w:r>
      <w:r w:rsidR="000420A0">
        <w:rPr>
          <w:lang w:val="sl-SI" w:eastAsia="en-US"/>
        </w:rPr>
        <w:t>ora, a jediničnu cijenu za ulje</w:t>
      </w:r>
      <w:r w:rsidRPr="006B4C2D">
        <w:rPr>
          <w:lang w:val="sl-SI" w:eastAsia="en-US"/>
        </w:rPr>
        <w:t xml:space="preserve"> ponuđač će jasno naznači</w:t>
      </w:r>
      <w:r>
        <w:rPr>
          <w:lang w:val="sl-SI" w:eastAsia="en-US"/>
        </w:rPr>
        <w:t>ti prilikom dostavljanja ponude;</w:t>
      </w:r>
    </w:p>
    <w:p w14:paraId="3ABCDAC4" w14:textId="77777777" w:rsidR="0076173C" w:rsidRPr="00A57BA5" w:rsidRDefault="00780191" w:rsidP="00780191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A57BA5">
        <w:rPr>
          <w:lang w:val="sl-SI" w:eastAsia="en-US"/>
        </w:rPr>
        <w:t>Stavke 4 i 5</w:t>
      </w:r>
      <w:r w:rsidR="0076173C" w:rsidRPr="00A57BA5">
        <w:rPr>
          <w:lang w:val="sl-SI" w:eastAsia="en-US"/>
        </w:rPr>
        <w:t xml:space="preserve">: </w:t>
      </w:r>
      <w:r w:rsidRPr="00A57BA5">
        <w:rPr>
          <w:lang w:val="sl-SI" w:eastAsia="en-US"/>
        </w:rPr>
        <w:t>Minimalna cijena koju ponuđač može ponuditi je 200 €/t bez PDV;</w:t>
      </w:r>
    </w:p>
    <w:p w14:paraId="7A216F16" w14:textId="77777777" w:rsidR="00820FD6" w:rsidRPr="00A57BA5" w:rsidRDefault="004E477E" w:rsidP="00C65A7F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A57BA5">
        <w:rPr>
          <w:lang w:val="sl-SI" w:eastAsia="en-US"/>
        </w:rPr>
        <w:t xml:space="preserve">Ponuđači </w:t>
      </w:r>
      <w:r w:rsidR="00661F80" w:rsidRPr="00A57BA5">
        <w:rPr>
          <w:lang w:val="sl-SI" w:eastAsia="en-US"/>
        </w:rPr>
        <w:t xml:space="preserve">ne </w:t>
      </w:r>
      <w:r w:rsidRPr="00A57BA5">
        <w:rPr>
          <w:lang w:val="sl-SI" w:eastAsia="en-US"/>
        </w:rPr>
        <w:t xml:space="preserve">mogu ponuditi cijenu </w:t>
      </w:r>
      <w:r w:rsidR="00661F80" w:rsidRPr="00A57BA5">
        <w:rPr>
          <w:lang w:val="sl-SI" w:eastAsia="en-US"/>
        </w:rPr>
        <w:t xml:space="preserve">ispod minimalno </w:t>
      </w:r>
      <w:r w:rsidR="00962003" w:rsidRPr="00A57BA5">
        <w:rPr>
          <w:lang w:val="sl-SI" w:eastAsia="en-US"/>
        </w:rPr>
        <w:t>p</w:t>
      </w:r>
      <w:r w:rsidR="00331352" w:rsidRPr="00A57BA5">
        <w:rPr>
          <w:lang w:val="sl-SI" w:eastAsia="en-US"/>
        </w:rPr>
        <w:t xml:space="preserve">rocijenjene </w:t>
      </w:r>
      <w:r w:rsidR="003448C3" w:rsidRPr="00A57BA5">
        <w:rPr>
          <w:lang w:val="sl-SI" w:eastAsia="en-US"/>
        </w:rPr>
        <w:t>vrijednosti otpada.</w:t>
      </w:r>
    </w:p>
    <w:p w14:paraId="6FAF8FAF" w14:textId="77777777" w:rsidR="00D55932" w:rsidRPr="00A57BA5" w:rsidRDefault="00D55932" w:rsidP="00D55932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D280D9B" w14:textId="77777777" w:rsidR="000017E4" w:rsidRPr="00A57BA5" w:rsidRDefault="000017E4" w:rsidP="000017E4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A57BA5">
        <w:rPr>
          <w:lang w:val="sl-SI" w:eastAsia="en-US"/>
        </w:rPr>
        <w:t>Predmet je otpad nastao nastao u TE Pljevlja, prema obimu, količini i vrsti, kako je to naznačeno u specifikaciji:</w:t>
      </w:r>
    </w:p>
    <w:p w14:paraId="449ED5D7" w14:textId="77777777" w:rsidR="000017E4" w:rsidRPr="00A57BA5" w:rsidRDefault="000017E4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W w:w="100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8"/>
        <w:gridCol w:w="1980"/>
        <w:gridCol w:w="1170"/>
        <w:gridCol w:w="990"/>
        <w:gridCol w:w="1197"/>
        <w:gridCol w:w="1026"/>
        <w:gridCol w:w="7"/>
        <w:gridCol w:w="1712"/>
      </w:tblGrid>
      <w:tr w:rsidR="00A57BA5" w:rsidRPr="00A57BA5" w14:paraId="23A7C4A6" w14:textId="77777777" w:rsidTr="00EE7CA0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E6D7A" w14:textId="77777777" w:rsidR="00A57BA5" w:rsidRPr="00A57BA5" w:rsidRDefault="00A57BA5" w:rsidP="00B3010E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Rb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93AA907" w14:textId="77777777" w:rsidR="00A57BA5" w:rsidRPr="00A57BA5" w:rsidRDefault="00A57BA5" w:rsidP="00B3010E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Materijal i šifra otpada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7344DE" w14:textId="3C2A6E37" w:rsidR="00A57BA5" w:rsidRPr="00A57BA5" w:rsidRDefault="00A57BA5" w:rsidP="00B3010E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Bitne karakteristike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25AB86" w14:textId="77777777" w:rsidR="00A57BA5" w:rsidRPr="00A57BA5" w:rsidRDefault="00A57BA5" w:rsidP="00B3010E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 xml:space="preserve">Lokacija </w:t>
            </w:r>
          </w:p>
        </w:tc>
        <w:tc>
          <w:tcPr>
            <w:tcW w:w="990" w:type="dxa"/>
            <w:vAlign w:val="center"/>
          </w:tcPr>
          <w:p w14:paraId="2860169B" w14:textId="77777777" w:rsidR="00A57BA5" w:rsidRPr="00A57BA5" w:rsidRDefault="00A57BA5" w:rsidP="00B3010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Jedinica mjere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94FF9E0" w14:textId="77777777" w:rsidR="00A57BA5" w:rsidRPr="00A57BA5" w:rsidRDefault="00A57BA5" w:rsidP="00B3010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Procj. količina (kg)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C31B760" w14:textId="77777777" w:rsidR="00A57BA5" w:rsidRPr="00A57BA5" w:rsidRDefault="00A57BA5" w:rsidP="00B3010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Cijena/kg bez PDV-a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7A54D622" w14:textId="77777777" w:rsidR="00A57BA5" w:rsidRPr="00A57BA5" w:rsidRDefault="00A57BA5" w:rsidP="00B3010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Ukupno bez PDV-a</w:t>
            </w:r>
          </w:p>
        </w:tc>
      </w:tr>
      <w:tr w:rsidR="00A57BA5" w:rsidRPr="00A57BA5" w14:paraId="37432DD4" w14:textId="77777777" w:rsidTr="00EE7CA0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FD62A" w14:textId="77777777" w:rsidR="00A57BA5" w:rsidRPr="00A57BA5" w:rsidRDefault="00A57BA5" w:rsidP="00B3010E">
            <w:pPr>
              <w:jc w:val="center"/>
              <w:rPr>
                <w:rFonts w:eastAsia="Calibri"/>
                <w:color w:val="000000" w:themeColor="text1"/>
                <w:lang w:val="sr-Latn-ME" w:eastAsia="sr-Latn-ME"/>
              </w:rPr>
            </w:pPr>
            <w:r w:rsidRPr="00A57BA5">
              <w:rPr>
                <w:rFonts w:eastAsia="Calibri"/>
                <w:color w:val="000000" w:themeColor="text1"/>
                <w:lang w:val="sr-Latn-ME" w:eastAsia="sr-Latn-ME"/>
              </w:rPr>
              <w:lastRenderedPageBreak/>
              <w:t>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FC80" w14:textId="77777777" w:rsidR="00A57BA5" w:rsidRPr="00A57BA5" w:rsidRDefault="00A57BA5" w:rsidP="00B3010E">
            <w:r w:rsidRPr="00A57BA5">
              <w:t xml:space="preserve">Gvožđe i čelik – šifra otpada 17 04 05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DE7C11" w14:textId="77777777" w:rsidR="00A57BA5" w:rsidRPr="00A57BA5" w:rsidRDefault="00A57BA5" w:rsidP="00B3010E"/>
        </w:tc>
        <w:tc>
          <w:tcPr>
            <w:tcW w:w="1170" w:type="dxa"/>
            <w:vAlign w:val="center"/>
          </w:tcPr>
          <w:p w14:paraId="7C4A492D" w14:textId="77777777" w:rsidR="00A57BA5" w:rsidRPr="00A57BA5" w:rsidRDefault="00A57BA5" w:rsidP="00B3010E">
            <w:pPr>
              <w:jc w:val="center"/>
              <w:rPr>
                <w:rFonts w:eastAsia="Calibri"/>
                <w:color w:val="000000" w:themeColor="text1"/>
                <w:lang w:val="sr-Latn-ME"/>
              </w:rPr>
            </w:pPr>
            <w:r w:rsidRPr="00A57BA5">
              <w:rPr>
                <w:rFonts w:eastAsia="Calibri"/>
                <w:color w:val="000000" w:themeColor="text1"/>
                <w:lang w:val="sr-Latn-ME"/>
              </w:rPr>
              <w:t xml:space="preserve">TE Pljevlja </w:t>
            </w:r>
          </w:p>
        </w:tc>
        <w:tc>
          <w:tcPr>
            <w:tcW w:w="990" w:type="dxa"/>
            <w:vAlign w:val="center"/>
          </w:tcPr>
          <w:p w14:paraId="438997AE" w14:textId="77777777" w:rsidR="00A57BA5" w:rsidRPr="00A57BA5" w:rsidRDefault="00A57BA5" w:rsidP="00B3010E">
            <w:pPr>
              <w:spacing w:before="44"/>
              <w:ind w:left="154"/>
              <w:jc w:val="center"/>
              <w:rPr>
                <w:color w:val="000000" w:themeColor="text1"/>
              </w:rPr>
            </w:pPr>
            <w:r w:rsidRPr="00A57BA5">
              <w:rPr>
                <w:color w:val="000000" w:themeColor="text1"/>
              </w:rPr>
              <w:t>kg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B70B" w14:textId="77777777" w:rsidR="00A57BA5" w:rsidRPr="00A57BA5" w:rsidRDefault="00A57BA5" w:rsidP="00B3010E">
            <w:pPr>
              <w:jc w:val="center"/>
            </w:pPr>
            <w:r w:rsidRPr="00A57BA5">
              <w:t>110000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156E9C1" w14:textId="77777777" w:rsidR="00A57BA5" w:rsidRPr="00A57BA5" w:rsidRDefault="00A57BA5" w:rsidP="00B301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7E5252E6" w14:textId="77777777" w:rsidR="00A57BA5" w:rsidRPr="00A57BA5" w:rsidRDefault="00A57BA5" w:rsidP="00B3010E">
            <w:pPr>
              <w:jc w:val="center"/>
              <w:rPr>
                <w:color w:val="000000" w:themeColor="text1"/>
              </w:rPr>
            </w:pPr>
          </w:p>
        </w:tc>
      </w:tr>
      <w:tr w:rsidR="000017E4" w:rsidRPr="00A57BA5" w14:paraId="1819DB82" w14:textId="77777777" w:rsidTr="00A57BA5">
        <w:tc>
          <w:tcPr>
            <w:tcW w:w="8364" w:type="dxa"/>
            <w:gridSpan w:val="8"/>
            <w:vAlign w:val="center"/>
          </w:tcPr>
          <w:p w14:paraId="2741EF2A" w14:textId="77777777" w:rsidR="000017E4" w:rsidRPr="00A57BA5" w:rsidRDefault="000017E4" w:rsidP="00B3010E">
            <w:pPr>
              <w:rPr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Ukupno bez PDV-a:</w:t>
            </w:r>
          </w:p>
        </w:tc>
        <w:tc>
          <w:tcPr>
            <w:tcW w:w="1712" w:type="dxa"/>
            <w:vAlign w:val="center"/>
          </w:tcPr>
          <w:p w14:paraId="2780ED3C" w14:textId="77777777" w:rsidR="000017E4" w:rsidRPr="00A57BA5" w:rsidRDefault="000017E4" w:rsidP="00B3010E">
            <w:pPr>
              <w:jc w:val="right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€</w:t>
            </w:r>
          </w:p>
        </w:tc>
      </w:tr>
      <w:tr w:rsidR="000017E4" w:rsidRPr="00A57BA5" w14:paraId="6AF6ED9A" w14:textId="77777777" w:rsidTr="00A57BA5">
        <w:tc>
          <w:tcPr>
            <w:tcW w:w="8364" w:type="dxa"/>
            <w:gridSpan w:val="8"/>
            <w:vAlign w:val="center"/>
          </w:tcPr>
          <w:p w14:paraId="3306D35C" w14:textId="77777777" w:rsidR="000017E4" w:rsidRPr="00A57BA5" w:rsidRDefault="000017E4" w:rsidP="00B3010E">
            <w:pPr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PDV:</w:t>
            </w:r>
          </w:p>
        </w:tc>
        <w:tc>
          <w:tcPr>
            <w:tcW w:w="1712" w:type="dxa"/>
            <w:vAlign w:val="center"/>
          </w:tcPr>
          <w:p w14:paraId="27E72EB0" w14:textId="77777777" w:rsidR="000017E4" w:rsidRPr="00A57BA5" w:rsidRDefault="000017E4" w:rsidP="00B3010E">
            <w:pPr>
              <w:jc w:val="right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€</w:t>
            </w:r>
          </w:p>
        </w:tc>
      </w:tr>
      <w:tr w:rsidR="000017E4" w:rsidRPr="00351972" w14:paraId="6DB62C7A" w14:textId="77777777" w:rsidTr="00A57BA5">
        <w:tc>
          <w:tcPr>
            <w:tcW w:w="8364" w:type="dxa"/>
            <w:gridSpan w:val="8"/>
            <w:vAlign w:val="center"/>
          </w:tcPr>
          <w:p w14:paraId="1E061AB8" w14:textId="77777777" w:rsidR="000017E4" w:rsidRPr="00351972" w:rsidRDefault="000017E4" w:rsidP="00B3010E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1712" w:type="dxa"/>
            <w:vAlign w:val="center"/>
          </w:tcPr>
          <w:p w14:paraId="6B3BBC5D" w14:textId="77777777" w:rsidR="000017E4" w:rsidRPr="00351972" w:rsidRDefault="000017E4" w:rsidP="00B3010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00D5255B" w14:textId="77777777" w:rsidR="000017E4" w:rsidRDefault="000017E4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0C06D03B" w14:textId="77777777" w:rsidR="00DB576D" w:rsidRPr="00C77752" w:rsidRDefault="00DB576D" w:rsidP="00DB576D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C77752">
        <w:rPr>
          <w:b/>
          <w:lang w:val="sl-SI" w:eastAsia="en-US"/>
        </w:rPr>
        <w:t>Napomena:</w:t>
      </w:r>
    </w:p>
    <w:p w14:paraId="7C6F1570" w14:textId="3762EDAC" w:rsidR="00780191" w:rsidRPr="00D835B9" w:rsidRDefault="00780191" w:rsidP="00780191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780191">
        <w:rPr>
          <w:lang w:val="sl-SI" w:eastAsia="en-US"/>
        </w:rPr>
        <w:t xml:space="preserve">Minimalna cijena koju ponuđač može </w:t>
      </w:r>
      <w:r w:rsidRPr="00D835B9">
        <w:rPr>
          <w:lang w:val="sl-SI" w:eastAsia="en-US"/>
        </w:rPr>
        <w:t xml:space="preserve">ponuditi je </w:t>
      </w:r>
      <w:r w:rsidR="007B0294">
        <w:rPr>
          <w:lang w:val="sl-SI" w:eastAsia="en-US"/>
        </w:rPr>
        <w:t>0,18</w:t>
      </w:r>
      <w:r w:rsidR="00D835B9" w:rsidRPr="00D835B9">
        <w:rPr>
          <w:lang w:val="sl-SI" w:eastAsia="en-US"/>
        </w:rPr>
        <w:t xml:space="preserve"> €/kg</w:t>
      </w:r>
      <w:r w:rsidRPr="00D835B9">
        <w:rPr>
          <w:lang w:val="sl-SI" w:eastAsia="en-US"/>
        </w:rPr>
        <w:t xml:space="preserve"> bez PDV;</w:t>
      </w:r>
    </w:p>
    <w:p w14:paraId="4C966342" w14:textId="05EC8CD0" w:rsidR="000017E4" w:rsidRDefault="00907A7E" w:rsidP="000017E4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907A7E">
        <w:rPr>
          <w:lang w:val="sl-SI" w:eastAsia="en-US"/>
        </w:rPr>
        <w:t>Ponuđači ne mogu ponuditi cijenu ispod minimalno procijenjene vrijednosti otpada.</w:t>
      </w:r>
    </w:p>
    <w:p w14:paraId="406ABD0F" w14:textId="763CCC01" w:rsidR="000017E4" w:rsidRDefault="003D1AA2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      -     Ponuđači mogu dostaviti ponudu samo za</w:t>
      </w:r>
      <w:r w:rsidR="00117B56">
        <w:rPr>
          <w:lang w:val="sl-SI" w:eastAsia="en-US"/>
        </w:rPr>
        <w:t xml:space="preserve"> jednu od Partija I ili</w:t>
      </w:r>
      <w:r>
        <w:rPr>
          <w:lang w:val="sl-SI" w:eastAsia="en-US"/>
        </w:rPr>
        <w:t xml:space="preserve"> II</w:t>
      </w:r>
      <w:r w:rsidR="00117B56">
        <w:rPr>
          <w:lang w:val="sl-SI" w:eastAsia="en-US"/>
        </w:rPr>
        <w:t>;</w:t>
      </w:r>
    </w:p>
    <w:p w14:paraId="1E7A8A57" w14:textId="77777777" w:rsidR="00D835B9" w:rsidRDefault="00D835B9" w:rsidP="00D835B9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5303FD99" w14:textId="6169861D" w:rsidR="00D835B9" w:rsidRPr="003D1AA2" w:rsidRDefault="00D835B9" w:rsidP="000017E4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59E3B95F" w14:textId="77777777"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14:paraId="349381FD" w14:textId="599320C8" w:rsidR="00FA02BF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Ponuđač sa kojim se zaključi Ugovor će uplatiti Naručiocu ugovorenu vrijednost za procijenjenu količinu otpada u roku od 10 dana od dana potpisivanja Ugovora, a prije preuzimanja otpada. 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820FD6" w:rsidRPr="00351972">
        <w:rPr>
          <w:rFonts w:eastAsia="Calibri"/>
          <w:color w:val="000000"/>
          <w:lang w:eastAsia="en-US"/>
        </w:rPr>
        <w:t xml:space="preserve">. Jedinične cijene po kilogramu date u ponudi, se ne mogu mijenjati. </w:t>
      </w:r>
      <w:r w:rsidR="00D90C37" w:rsidRPr="00351972">
        <w:rPr>
          <w:rFonts w:eastAsia="Calibri"/>
          <w:color w:val="000000"/>
          <w:lang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</w:t>
      </w:r>
      <w:r w:rsidR="00BF18E4" w:rsidRPr="00351972">
        <w:rPr>
          <w:rFonts w:eastAsia="Calibri"/>
          <w:color w:val="000000"/>
          <w:lang w:eastAsia="en-US"/>
        </w:rPr>
        <w:t>nje</w:t>
      </w:r>
      <w:r w:rsidR="00D90C37" w:rsidRPr="00351972">
        <w:rPr>
          <w:rFonts w:eastAsia="Calibri"/>
          <w:color w:val="000000"/>
          <w:lang w:eastAsia="en-US"/>
        </w:rPr>
        <w:t>na vrijednost veća od vaganjem utvrđene količine otpada.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>Jedinične cijene po kilogramu date u ponudi, se ne mogu mijenjati. Plaćanje PDV-a je obaveza Ponuđača. U ukupnu cijenu su uračunati svi zavisni troškovi rezanja, utovara, transporta, mjerenja – vaganja otpada.</w:t>
      </w:r>
    </w:p>
    <w:p w14:paraId="5C8FB50A" w14:textId="77777777" w:rsidR="00AB31CD" w:rsidRPr="00351972" w:rsidRDefault="00AB31CD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9EE8EEB" w14:textId="77777777"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14:paraId="6FED9633" w14:textId="77777777"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14:paraId="08A811A6" w14:textId="77777777"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14:paraId="32B9CF2B" w14:textId="77777777"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14:paraId="1D4D7180" w14:textId="77777777"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14:paraId="3F07FCEA" w14:textId="77777777"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14:paraId="307E6670" w14:textId="77777777"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14:paraId="7C2CB0D3" w14:textId="77777777"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59887C32" w14:textId="77777777" w:rsidR="00743B9C" w:rsidRPr="00351972" w:rsidRDefault="0076173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 okviru ponude dostaviti i sl</w:t>
      </w:r>
      <w:r w:rsidR="00743B9C" w:rsidRPr="00351972">
        <w:rPr>
          <w:rFonts w:ascii="Times New Roman" w:hAnsi="Times New Roman" w:cs="Times New Roman"/>
          <w:sz w:val="24"/>
          <w:szCs w:val="24"/>
          <w:lang w:val="pl-PL"/>
        </w:rPr>
        <w:t>edeće:</w:t>
      </w:r>
    </w:p>
    <w:p w14:paraId="64117995" w14:textId="77777777"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14:paraId="0D7226CB" w14:textId="77777777"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14:paraId="6F46EF2B" w14:textId="77777777"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14:paraId="0F523205" w14:textId="77777777"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14:paraId="5F55A4C9" w14:textId="77777777"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14:paraId="739F8AFC" w14:textId="77777777"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lastRenderedPageBreak/>
        <w:t>Finansijski dio ponude;</w:t>
      </w:r>
    </w:p>
    <w:p w14:paraId="4AA3C8D4" w14:textId="77777777"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14:paraId="085C3A6C" w14:textId="77777777"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14:paraId="5539E6B3" w14:textId="77777777"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14:paraId="295433FA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14:paraId="1E5AB438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18C09D3D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14:paraId="305CFF48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ABA49FD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14:paraId="57B57122" w14:textId="77777777"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66C219DD" w14:textId="77777777" w:rsidR="00DD5DE4" w:rsidRDefault="00DD5DE4" w:rsidP="00DD5DE4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14:paraId="3F671E6F" w14:textId="77777777" w:rsidR="00DD5DE4" w:rsidRDefault="00DD5DE4" w:rsidP="00DD5DE4">
      <w:pPr>
        <w:jc w:val="both"/>
        <w:rPr>
          <w:b/>
          <w:lang w:val="sl-SI" w:eastAsia="en-US"/>
        </w:rPr>
      </w:pPr>
    </w:p>
    <w:p w14:paraId="7207586B" w14:textId="0949DF1E" w:rsidR="00DD5DE4" w:rsidRPr="00D90C37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="00A57BA5">
        <w:rPr>
          <w:lang w:eastAsia="en-US"/>
        </w:rPr>
        <w:t>, za partije I i II.</w:t>
      </w:r>
    </w:p>
    <w:p w14:paraId="1ED807BF" w14:textId="77777777"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14:paraId="60ADDC10" w14:textId="77777777" w:rsidR="00DD5DE4" w:rsidRDefault="00DD5DE4" w:rsidP="00D55932">
      <w:pPr>
        <w:jc w:val="both"/>
        <w:rPr>
          <w:lang w:val="sl-SI" w:eastAsia="en-US"/>
        </w:rPr>
      </w:pPr>
      <w:r w:rsidRPr="00D90C37">
        <w:rPr>
          <w:lang w:val="sl-SI" w:eastAsia="en-US"/>
        </w:rPr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14:paraId="08E03C11" w14:textId="77777777"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14:paraId="1D6CFB05" w14:textId="77777777"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8E6B40C" w14:textId="77777777"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14:paraId="45962A45" w14:textId="77777777"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2CE060ED" w14:textId="77777777"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14:paraId="36F31EFE" w14:textId="77777777" w:rsidR="00820FD6" w:rsidRPr="00351972" w:rsidRDefault="00820FD6" w:rsidP="00820FD6">
      <w:pPr>
        <w:jc w:val="both"/>
        <w:rPr>
          <w:b/>
          <w:lang w:val="sl-SI" w:eastAsia="en-US"/>
        </w:rPr>
      </w:pPr>
    </w:p>
    <w:p w14:paraId="27F8C746" w14:textId="77777777"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14:paraId="0E018979" w14:textId="77777777"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76173C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14:paraId="6C038D8B" w14:textId="77777777" w:rsidR="003448C3" w:rsidRDefault="008659DF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Ljiljana</w:t>
      </w:r>
      <w:r w:rsidR="00B85259">
        <w:rPr>
          <w:lang w:val="sl-SI" w:eastAsia="en-US"/>
        </w:rPr>
        <w:t xml:space="preserve"> Radović</w:t>
      </w:r>
      <w:r w:rsidR="00E467D0">
        <w:rPr>
          <w:lang w:val="sl-SI" w:eastAsia="en-US"/>
        </w:rPr>
        <w:t xml:space="preserve">, tel: </w:t>
      </w:r>
      <w:r>
        <w:rPr>
          <w:lang w:val="sl-SI" w:eastAsia="en-US"/>
        </w:rPr>
        <w:t>067-394-170; 040-205-425;</w:t>
      </w:r>
    </w:p>
    <w:p w14:paraId="5F59FC3D" w14:textId="77777777" w:rsidR="0076173C" w:rsidRDefault="0076173C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Dejan Jestrović, tel: 068/356-834;</w:t>
      </w:r>
    </w:p>
    <w:p w14:paraId="1A2E9BFC" w14:textId="77777777"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14:paraId="0922D4A3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14:paraId="18442CA3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14:paraId="0A711E45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14:paraId="30A2E142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3A8708C" w14:textId="17D9AB4E" w:rsidR="00FA02BF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EPCG AD Nikšić, ul. Vuka Karadžića br. 2, Nikšić  ili neposredno na arhivi EPCG AD Nikšić do dana </w:t>
      </w:r>
      <w:r w:rsidR="00737961">
        <w:rPr>
          <w:b/>
          <w:lang w:val="sl-SI" w:eastAsia="en-US"/>
        </w:rPr>
        <w:t>17</w:t>
      </w:r>
      <w:bookmarkStart w:id="0" w:name="_GoBack"/>
      <w:bookmarkEnd w:id="0"/>
      <w:r w:rsidR="003D1AA2">
        <w:rPr>
          <w:b/>
          <w:lang w:val="sl-SI" w:eastAsia="en-US"/>
        </w:rPr>
        <w:t>.11</w:t>
      </w:r>
      <w:r w:rsidR="000C4A22">
        <w:rPr>
          <w:b/>
          <w:lang w:val="sl-SI" w:eastAsia="en-US"/>
        </w:rPr>
        <w:t>.2023</w:t>
      </w:r>
      <w:r w:rsidR="00B57858">
        <w:rPr>
          <w:b/>
          <w:lang w:val="sl-SI" w:eastAsia="en-US"/>
        </w:rPr>
        <w:t xml:space="preserve">. </w:t>
      </w:r>
      <w:r w:rsidR="00780191">
        <w:rPr>
          <w:b/>
          <w:lang w:val="sl-SI" w:eastAsia="en-US"/>
        </w:rPr>
        <w:t>do 10:00</w:t>
      </w:r>
      <w:r w:rsidR="00780191" w:rsidRPr="00351972">
        <w:rPr>
          <w:b/>
          <w:vertAlign w:val="superscript"/>
          <w:lang w:val="sl-SI" w:eastAsia="en-US"/>
        </w:rPr>
        <w:t>h</w:t>
      </w:r>
      <w:r w:rsidR="00780191">
        <w:rPr>
          <w:lang w:val="sl-SI" w:eastAsia="en-US"/>
        </w:rPr>
        <w:t xml:space="preserve"> </w:t>
      </w:r>
      <w:r w:rsidR="00B57858">
        <w:rPr>
          <w:lang w:val="sl-SI" w:eastAsia="en-US"/>
        </w:rPr>
        <w:t>u zapečaćenom omotu.</w:t>
      </w:r>
    </w:p>
    <w:p w14:paraId="1FF2A751" w14:textId="77777777" w:rsidR="00B57858" w:rsidRPr="00B57858" w:rsidRDefault="00B5785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B099D07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lastRenderedPageBreak/>
        <w:t>8</w:t>
      </w:r>
      <w:r w:rsidR="00820FD6" w:rsidRPr="00351972">
        <w:rPr>
          <w:b/>
          <w:lang w:val="sl-SI" w:eastAsia="en-US"/>
        </w:rPr>
        <w:t>.Vrijeme i mjesto javnog otvaranja ponuda</w:t>
      </w:r>
    </w:p>
    <w:p w14:paraId="7AD9DDC5" w14:textId="7BDF470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 w:rsidR="00B57858">
        <w:rPr>
          <w:lang w:val="sl-SI" w:eastAsia="en-US"/>
        </w:rPr>
        <w:t xml:space="preserve"> </w:t>
      </w:r>
      <w:r w:rsidR="00737961">
        <w:rPr>
          <w:b/>
          <w:lang w:val="sl-SI" w:eastAsia="en-US"/>
        </w:rPr>
        <w:t>17</w:t>
      </w:r>
      <w:r w:rsidR="003D1AA2">
        <w:rPr>
          <w:b/>
          <w:lang w:val="sl-SI" w:eastAsia="en-US"/>
        </w:rPr>
        <w:t>.11</w:t>
      </w:r>
      <w:r w:rsidR="0076173C">
        <w:rPr>
          <w:b/>
          <w:lang w:val="sl-SI" w:eastAsia="en-US"/>
        </w:rPr>
        <w:t>.2023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C77752">
        <w:rPr>
          <w:b/>
          <w:lang w:val="sl-SI" w:eastAsia="en-US"/>
        </w:rPr>
        <w:t>u 11</w:t>
      </w:r>
      <w:r w:rsidR="00A7206C" w:rsidRPr="00351972">
        <w:rPr>
          <w:b/>
          <w:lang w:val="sl-SI" w:eastAsia="en-US"/>
        </w:rPr>
        <w:t>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14:paraId="131DD2AB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7A27A696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14:paraId="5E2EB8BC" w14:textId="77777777"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14:paraId="4171E208" w14:textId="77777777"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48F92FA9" w14:textId="53757A8D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5B38E7">
        <w:rPr>
          <w:b/>
          <w:lang w:val="sl-SI" w:eastAsia="en-US"/>
        </w:rPr>
        <w:t>1</w:t>
      </w:r>
      <w:r w:rsidR="00820FD6" w:rsidRPr="00351972">
        <w:rPr>
          <w:b/>
          <w:lang w:val="sl-SI" w:eastAsia="en-US"/>
        </w:rPr>
        <w:t>0 dana</w:t>
      </w:r>
      <w:r w:rsidR="00820FD6" w:rsidRPr="00351972">
        <w:rPr>
          <w:lang w:val="sl-SI" w:eastAsia="en-US"/>
        </w:rPr>
        <w:t xml:space="preserve"> od dana otvaranja ponuda.</w:t>
      </w:r>
    </w:p>
    <w:p w14:paraId="1AA64FAC" w14:textId="77777777"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94B34D3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>. Druge informacije</w:t>
      </w:r>
    </w:p>
    <w:p w14:paraId="55367D75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14:paraId="2677E69E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14:paraId="60D71190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5C9BD2B" w14:textId="77777777" w:rsidR="00820FD6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 w:rsidR="0076173C">
        <w:rPr>
          <w:lang w:val="sl-SI" w:eastAsia="en-US"/>
        </w:rPr>
        <w:t>Filip Krivokapić</w:t>
      </w:r>
      <w:r w:rsidRPr="00351972">
        <w:rPr>
          <w:lang w:val="sl-SI" w:eastAsia="en-US"/>
        </w:rPr>
        <w:t>, tel.br. 0</w:t>
      </w:r>
      <w:r w:rsidR="004F3780">
        <w:rPr>
          <w:lang w:val="sl-SI" w:eastAsia="en-US"/>
        </w:rPr>
        <w:t>67/687-050</w:t>
      </w:r>
      <w:r w:rsidRPr="00351972">
        <w:rPr>
          <w:lang w:val="sl-SI" w:eastAsia="en-US"/>
        </w:rPr>
        <w:t xml:space="preserve"> i mail: </w:t>
      </w:r>
      <w:r w:rsidR="002C4596">
        <w:rPr>
          <w:rStyle w:val="Hyperlink"/>
          <w:lang w:val="sl-SI" w:eastAsia="en-US"/>
        </w:rPr>
        <w:fldChar w:fldCharType="begin"/>
      </w:r>
      <w:r w:rsidR="002C4596">
        <w:rPr>
          <w:rStyle w:val="Hyperlink"/>
          <w:lang w:val="sl-SI" w:eastAsia="en-US"/>
        </w:rPr>
        <w:instrText xml:space="preserve"> HYPERLINK "mailto:filip.krivokapic@epcg.com" </w:instrText>
      </w:r>
      <w:r w:rsidR="002C4596">
        <w:rPr>
          <w:rStyle w:val="Hyperlink"/>
          <w:lang w:val="sl-SI" w:eastAsia="en-US"/>
        </w:rPr>
        <w:fldChar w:fldCharType="separate"/>
      </w:r>
      <w:r w:rsidR="0076173C" w:rsidRPr="00DB7486">
        <w:rPr>
          <w:rStyle w:val="Hyperlink"/>
          <w:lang w:val="sl-SI" w:eastAsia="en-US"/>
        </w:rPr>
        <w:t>filip.krivokapic@epcg.com</w:t>
      </w:r>
      <w:r w:rsidR="002C4596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14:paraId="176AFE21" w14:textId="77777777"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EA3F3DA" w14:textId="77777777" w:rsidR="00780191" w:rsidRPr="00B51438" w:rsidRDefault="00780191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14:paraId="08F69C37" w14:textId="77777777" w:rsidTr="00274C04">
        <w:tc>
          <w:tcPr>
            <w:tcW w:w="5199" w:type="dxa"/>
          </w:tcPr>
          <w:p w14:paraId="72CEF76A" w14:textId="77777777"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Izvršni direktor</w:t>
            </w:r>
          </w:p>
        </w:tc>
      </w:tr>
      <w:tr w:rsidR="00B51438" w:rsidRPr="00B51438" w14:paraId="0D3258D5" w14:textId="77777777" w:rsidTr="00274C04">
        <w:tc>
          <w:tcPr>
            <w:tcW w:w="5199" w:type="dxa"/>
          </w:tcPr>
          <w:p w14:paraId="175F5F69" w14:textId="77777777" w:rsidR="00B51438" w:rsidRDefault="00B51438" w:rsidP="00B51438">
            <w:pPr>
              <w:jc w:val="center"/>
              <w:rPr>
                <w:rFonts w:eastAsia="PMingLiU"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 Nikola </w:t>
            </w:r>
            <w:proofErr w:type="spellStart"/>
            <w:r w:rsidRPr="00B51438">
              <w:rPr>
                <w:rFonts w:eastAsia="PMingLiU"/>
                <w:bCs/>
                <w:iCs/>
                <w:lang w:val="en-US" w:eastAsia="zh-TW"/>
              </w:rPr>
              <w:t>Rovčanin</w:t>
            </w:r>
            <w:proofErr w:type="spellEnd"/>
          </w:p>
          <w:p w14:paraId="77D3A373" w14:textId="534A94AA" w:rsidR="004C064B" w:rsidRPr="00B51438" w:rsidRDefault="004C064B" w:rsidP="00B51438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>
              <w:rPr>
                <w:rFonts w:eastAsia="PMingLiU"/>
                <w:bCs/>
                <w:iCs/>
                <w:lang w:val="en-US" w:eastAsia="zh-TW"/>
              </w:rPr>
              <w:t xml:space="preserve">       _______________________</w:t>
            </w:r>
          </w:p>
        </w:tc>
      </w:tr>
      <w:tr w:rsidR="00B51438" w:rsidRPr="00B51438" w14:paraId="4BA086D9" w14:textId="77777777" w:rsidTr="00274C04">
        <w:trPr>
          <w:trHeight w:val="225"/>
        </w:trPr>
        <w:tc>
          <w:tcPr>
            <w:tcW w:w="5199" w:type="dxa"/>
          </w:tcPr>
          <w:p w14:paraId="5F86A623" w14:textId="77777777"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</w:tbl>
    <w:p w14:paraId="5CF333C4" w14:textId="72012C88"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17E4"/>
    <w:rsid w:val="00005E2D"/>
    <w:rsid w:val="000321A7"/>
    <w:rsid w:val="000420A0"/>
    <w:rsid w:val="000720E5"/>
    <w:rsid w:val="00073C24"/>
    <w:rsid w:val="000800AE"/>
    <w:rsid w:val="000828CF"/>
    <w:rsid w:val="000856FD"/>
    <w:rsid w:val="00091A4D"/>
    <w:rsid w:val="000C4A22"/>
    <w:rsid w:val="000D79E8"/>
    <w:rsid w:val="00107F59"/>
    <w:rsid w:val="00117B56"/>
    <w:rsid w:val="00132864"/>
    <w:rsid w:val="001411CB"/>
    <w:rsid w:val="00161741"/>
    <w:rsid w:val="00180BAD"/>
    <w:rsid w:val="001B1A04"/>
    <w:rsid w:val="002063D7"/>
    <w:rsid w:val="002357FF"/>
    <w:rsid w:val="002544BD"/>
    <w:rsid w:val="00277601"/>
    <w:rsid w:val="00287396"/>
    <w:rsid w:val="00287DEC"/>
    <w:rsid w:val="002B2A41"/>
    <w:rsid w:val="002C4596"/>
    <w:rsid w:val="002D1048"/>
    <w:rsid w:val="00305A93"/>
    <w:rsid w:val="0032309D"/>
    <w:rsid w:val="00323855"/>
    <w:rsid w:val="00331352"/>
    <w:rsid w:val="003448C3"/>
    <w:rsid w:val="00346FB1"/>
    <w:rsid w:val="00351972"/>
    <w:rsid w:val="0036250D"/>
    <w:rsid w:val="003A392D"/>
    <w:rsid w:val="003D1AA2"/>
    <w:rsid w:val="003D2008"/>
    <w:rsid w:val="0043768E"/>
    <w:rsid w:val="00450C58"/>
    <w:rsid w:val="004C064B"/>
    <w:rsid w:val="004D38DE"/>
    <w:rsid w:val="004E0CDD"/>
    <w:rsid w:val="004E477E"/>
    <w:rsid w:val="004F3780"/>
    <w:rsid w:val="00530546"/>
    <w:rsid w:val="00545568"/>
    <w:rsid w:val="0054666F"/>
    <w:rsid w:val="005801CA"/>
    <w:rsid w:val="00584F6D"/>
    <w:rsid w:val="005911FA"/>
    <w:rsid w:val="005B38E7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4C2D"/>
    <w:rsid w:val="006B6725"/>
    <w:rsid w:val="006C4F9D"/>
    <w:rsid w:val="006D526D"/>
    <w:rsid w:val="00733CC4"/>
    <w:rsid w:val="00737961"/>
    <w:rsid w:val="00743B9C"/>
    <w:rsid w:val="007451B9"/>
    <w:rsid w:val="00754CA9"/>
    <w:rsid w:val="0076173C"/>
    <w:rsid w:val="0077121E"/>
    <w:rsid w:val="0077426D"/>
    <w:rsid w:val="00780191"/>
    <w:rsid w:val="00794FFD"/>
    <w:rsid w:val="007B0294"/>
    <w:rsid w:val="007D233F"/>
    <w:rsid w:val="007D2CB2"/>
    <w:rsid w:val="00800A24"/>
    <w:rsid w:val="00820FD6"/>
    <w:rsid w:val="008659DF"/>
    <w:rsid w:val="008673F8"/>
    <w:rsid w:val="008715EE"/>
    <w:rsid w:val="008768E2"/>
    <w:rsid w:val="008E0374"/>
    <w:rsid w:val="008F3553"/>
    <w:rsid w:val="00907A7E"/>
    <w:rsid w:val="0091523A"/>
    <w:rsid w:val="009326EC"/>
    <w:rsid w:val="00962003"/>
    <w:rsid w:val="0097338C"/>
    <w:rsid w:val="00973AB8"/>
    <w:rsid w:val="009B0859"/>
    <w:rsid w:val="00A00DF9"/>
    <w:rsid w:val="00A00ED9"/>
    <w:rsid w:val="00A30527"/>
    <w:rsid w:val="00A4339E"/>
    <w:rsid w:val="00A451F0"/>
    <w:rsid w:val="00A57BA5"/>
    <w:rsid w:val="00A7113E"/>
    <w:rsid w:val="00A7206C"/>
    <w:rsid w:val="00A7624A"/>
    <w:rsid w:val="00A76874"/>
    <w:rsid w:val="00AB2A8E"/>
    <w:rsid w:val="00AB31CD"/>
    <w:rsid w:val="00AD461C"/>
    <w:rsid w:val="00B002E4"/>
    <w:rsid w:val="00B36210"/>
    <w:rsid w:val="00B51438"/>
    <w:rsid w:val="00B57858"/>
    <w:rsid w:val="00B616B4"/>
    <w:rsid w:val="00B643D9"/>
    <w:rsid w:val="00B65D9E"/>
    <w:rsid w:val="00B807CA"/>
    <w:rsid w:val="00B840E7"/>
    <w:rsid w:val="00B85259"/>
    <w:rsid w:val="00BC3757"/>
    <w:rsid w:val="00BC7620"/>
    <w:rsid w:val="00BD0D78"/>
    <w:rsid w:val="00BF18E4"/>
    <w:rsid w:val="00C01291"/>
    <w:rsid w:val="00C1560D"/>
    <w:rsid w:val="00C22AAD"/>
    <w:rsid w:val="00C25CE3"/>
    <w:rsid w:val="00C6160F"/>
    <w:rsid w:val="00C61EB3"/>
    <w:rsid w:val="00C65A7F"/>
    <w:rsid w:val="00C77752"/>
    <w:rsid w:val="00CA76B0"/>
    <w:rsid w:val="00CE0AD9"/>
    <w:rsid w:val="00D07EB8"/>
    <w:rsid w:val="00D171AB"/>
    <w:rsid w:val="00D3452D"/>
    <w:rsid w:val="00D55932"/>
    <w:rsid w:val="00D6217F"/>
    <w:rsid w:val="00D835B9"/>
    <w:rsid w:val="00D90C37"/>
    <w:rsid w:val="00DB3548"/>
    <w:rsid w:val="00DB576D"/>
    <w:rsid w:val="00DD5DE4"/>
    <w:rsid w:val="00E032DC"/>
    <w:rsid w:val="00E35854"/>
    <w:rsid w:val="00E467D0"/>
    <w:rsid w:val="00E73F3E"/>
    <w:rsid w:val="00E76B8F"/>
    <w:rsid w:val="00EC131E"/>
    <w:rsid w:val="00EE2E38"/>
    <w:rsid w:val="00EE7CA0"/>
    <w:rsid w:val="00F370CC"/>
    <w:rsid w:val="00F76E3A"/>
    <w:rsid w:val="00F85B69"/>
    <w:rsid w:val="00FA02BF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607C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0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546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546"/>
    <w:rPr>
      <w:rFonts w:ascii="Times New Roman" w:eastAsia="Times New Roman" w:hAnsi="Times New Roman" w:cs="Times New Roman"/>
      <w:b/>
      <w:bCs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A714-0BF3-4C5D-B265-9FDBFB24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Dragomir Vojinovic</dc:creator>
  <cp:lastModifiedBy>Filip Krivokapic</cp:lastModifiedBy>
  <cp:revision>3</cp:revision>
  <cp:lastPrinted>2023-11-02T12:58:00Z</cp:lastPrinted>
  <dcterms:created xsi:type="dcterms:W3CDTF">2023-11-02T12:59:00Z</dcterms:created>
  <dcterms:modified xsi:type="dcterms:W3CDTF">2023-11-09T13:23:00Z</dcterms:modified>
</cp:coreProperties>
</file>