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5" w:rsidRDefault="003D4895" w:rsidP="003D4895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bookmarkStart w:id="0" w:name="_GoBack"/>
      <w:bookmarkEnd w:id="0"/>
      <w:r w:rsidRPr="0087617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5D70A237" wp14:editId="450C0779">
            <wp:extent cx="3038475" cy="819150"/>
            <wp:effectExtent l="0" t="0" r="9525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5" w:rsidRPr="0087617E" w:rsidRDefault="003D4895" w:rsidP="003D4895"/>
    <w:p w:rsidR="003D4895" w:rsidRDefault="003D4895" w:rsidP="00F467C0">
      <w:pPr>
        <w:jc w:val="both"/>
        <w:rPr>
          <w:rFonts w:ascii="Arial" w:hAnsi="Arial" w:cs="Arial"/>
        </w:rPr>
      </w:pPr>
      <w:r w:rsidRPr="0087617E">
        <w:rPr>
          <w:rFonts w:ascii="Arial" w:hAnsi="Arial" w:cs="Arial"/>
        </w:rPr>
        <w:t xml:space="preserve">Na osnovu </w:t>
      </w:r>
      <w:r w:rsidR="00901C58">
        <w:rPr>
          <w:rFonts w:ascii="Arial" w:hAnsi="Arial" w:cs="Arial"/>
        </w:rPr>
        <w:t>Odluke</w:t>
      </w:r>
      <w:r>
        <w:rPr>
          <w:rFonts w:ascii="Arial" w:hAnsi="Arial" w:cs="Arial"/>
        </w:rPr>
        <w:t xml:space="preserve"> </w:t>
      </w:r>
      <w:r w:rsidR="00AC6337">
        <w:rPr>
          <w:rFonts w:ascii="Arial" w:hAnsi="Arial" w:cs="Arial"/>
        </w:rPr>
        <w:t>o prodaji korišćenih službenih vozila</w:t>
      </w:r>
      <w:r w:rsidR="00CF14D3">
        <w:rPr>
          <w:rFonts w:ascii="Arial" w:hAnsi="Arial" w:cs="Arial"/>
        </w:rPr>
        <w:t xml:space="preserve"> br. </w:t>
      </w:r>
      <w:r w:rsidR="00901C58">
        <w:rPr>
          <w:rFonts w:ascii="Arial" w:hAnsi="Arial" w:cs="Arial"/>
        </w:rPr>
        <w:t>10-00-</w:t>
      </w:r>
      <w:r w:rsidR="00D22FE1">
        <w:rPr>
          <w:rFonts w:ascii="Arial" w:hAnsi="Arial" w:cs="Arial"/>
        </w:rPr>
        <w:t>36972</w:t>
      </w:r>
      <w:r w:rsidR="00CF14D3">
        <w:rPr>
          <w:rFonts w:ascii="Arial" w:hAnsi="Arial" w:cs="Arial"/>
        </w:rPr>
        <w:t xml:space="preserve"> od </w:t>
      </w:r>
      <w:r w:rsidR="00D22FE1">
        <w:rPr>
          <w:rFonts w:ascii="Arial" w:hAnsi="Arial" w:cs="Arial"/>
        </w:rPr>
        <w:t>19.07</w:t>
      </w:r>
      <w:r w:rsidR="00901C58">
        <w:rPr>
          <w:rFonts w:ascii="Arial" w:hAnsi="Arial" w:cs="Arial"/>
        </w:rPr>
        <w:t>.201</w:t>
      </w:r>
      <w:r w:rsidR="00D22FE1">
        <w:rPr>
          <w:rFonts w:ascii="Arial" w:hAnsi="Arial" w:cs="Arial"/>
        </w:rPr>
        <w:t>6. godine, Rješenja o imenovanju Komisije</w:t>
      </w:r>
      <w:r>
        <w:rPr>
          <w:rFonts w:ascii="Arial" w:hAnsi="Arial" w:cs="Arial"/>
        </w:rPr>
        <w:t xml:space="preserve"> z</w:t>
      </w:r>
      <w:r w:rsidR="00CF14D3">
        <w:rPr>
          <w:rFonts w:ascii="Arial" w:hAnsi="Arial" w:cs="Arial"/>
        </w:rPr>
        <w:t xml:space="preserve">a sprovođenje postupka </w:t>
      </w:r>
      <w:r w:rsidR="00901C58">
        <w:rPr>
          <w:rFonts w:ascii="Arial" w:hAnsi="Arial" w:cs="Arial"/>
        </w:rPr>
        <w:t>br. 10-00-</w:t>
      </w:r>
      <w:r w:rsidR="00D22FE1">
        <w:rPr>
          <w:rFonts w:ascii="Arial" w:hAnsi="Arial" w:cs="Arial"/>
        </w:rPr>
        <w:t>3698</w:t>
      </w:r>
      <w:r w:rsidR="00BB2606">
        <w:rPr>
          <w:rFonts w:ascii="Arial" w:hAnsi="Arial" w:cs="Arial"/>
        </w:rPr>
        <w:t>4</w:t>
      </w:r>
      <w:r w:rsidR="00D22FE1">
        <w:rPr>
          <w:rFonts w:ascii="Arial" w:hAnsi="Arial" w:cs="Arial"/>
        </w:rPr>
        <w:t xml:space="preserve"> </w:t>
      </w:r>
      <w:r w:rsidR="00AC6337" w:rsidRPr="00AC6337">
        <w:rPr>
          <w:rFonts w:ascii="Arial" w:hAnsi="Arial" w:cs="Arial"/>
        </w:rPr>
        <w:t>od 19.07.2016. godine</w:t>
      </w:r>
      <w:r w:rsidR="00AC6337">
        <w:rPr>
          <w:rFonts w:ascii="Arial" w:hAnsi="Arial" w:cs="Arial"/>
        </w:rPr>
        <w:t>, Elektroprivreda Crne Gore AD Nikšić objavljuje</w:t>
      </w:r>
    </w:p>
    <w:p w:rsidR="003D4895" w:rsidRDefault="003D4895" w:rsidP="003D489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:rsidR="003D4895" w:rsidRDefault="003D4895" w:rsidP="00F467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</w:t>
      </w:r>
      <w:r w:rsidR="003A664D">
        <w:rPr>
          <w:rFonts w:ascii="Arial" w:hAnsi="Arial" w:cs="Arial"/>
          <w:b/>
        </w:rPr>
        <w:t>DOSTAVLJANJE PONUDA ZA</w:t>
      </w:r>
      <w:r>
        <w:rPr>
          <w:rFonts w:ascii="Arial" w:hAnsi="Arial" w:cs="Arial"/>
          <w:b/>
        </w:rPr>
        <w:t xml:space="preserve"> PRODAJU </w:t>
      </w:r>
      <w:r w:rsidR="00901C58">
        <w:rPr>
          <w:rFonts w:ascii="Arial" w:hAnsi="Arial" w:cs="Arial"/>
          <w:b/>
        </w:rPr>
        <w:t>VOZILA</w:t>
      </w:r>
    </w:p>
    <w:p w:rsidR="00F467C0" w:rsidRPr="003D4895" w:rsidRDefault="00F467C0" w:rsidP="00F467C0">
      <w:pPr>
        <w:spacing w:after="0" w:line="240" w:lineRule="auto"/>
        <w:jc w:val="center"/>
        <w:rPr>
          <w:rFonts w:ascii="Arial" w:hAnsi="Arial" w:cs="Arial"/>
          <w:b/>
        </w:rPr>
      </w:pPr>
    </w:p>
    <w:p w:rsidR="003D4895" w:rsidRPr="003D4895" w:rsidRDefault="003D4895" w:rsidP="003D48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3D4895">
        <w:rPr>
          <w:rFonts w:ascii="Arial" w:hAnsi="Arial" w:cs="Arial"/>
          <w:b/>
        </w:rPr>
        <w:t>Predmet prodaje</w:t>
      </w:r>
    </w:p>
    <w:p w:rsidR="003A664D" w:rsidRDefault="003D4895" w:rsidP="00A810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Predmet prodaje </w:t>
      </w:r>
      <w:r w:rsidR="003A664D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901C58">
        <w:rPr>
          <w:rFonts w:ascii="Arial" w:hAnsi="Arial" w:cs="Arial"/>
        </w:rPr>
        <w:t>vozila</w:t>
      </w:r>
      <w:r w:rsidR="005773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svojina Elektroprivrede Crne Gore AD Nikšić</w:t>
      </w:r>
      <w:r w:rsidR="003A664D">
        <w:rPr>
          <w:rFonts w:ascii="Arial" w:hAnsi="Arial" w:cs="Arial"/>
        </w:rPr>
        <w:t xml:space="preserve">, </w:t>
      </w:r>
      <w:r w:rsidR="00D22FE1">
        <w:rPr>
          <w:rFonts w:ascii="Arial" w:hAnsi="Arial" w:cs="Arial"/>
        </w:rPr>
        <w:t>kako slijedi: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9"/>
        <w:gridCol w:w="921"/>
        <w:gridCol w:w="1036"/>
        <w:gridCol w:w="845"/>
        <w:gridCol w:w="738"/>
        <w:gridCol w:w="1451"/>
        <w:gridCol w:w="1292"/>
        <w:gridCol w:w="1341"/>
        <w:gridCol w:w="1380"/>
      </w:tblGrid>
      <w:tr w:rsidR="0047110D" w:rsidRPr="002A30C8" w:rsidTr="0047110D">
        <w:tc>
          <w:tcPr>
            <w:tcW w:w="909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 xml:space="preserve">Rb Partije </w:t>
            </w:r>
          </w:p>
        </w:tc>
        <w:tc>
          <w:tcPr>
            <w:tcW w:w="921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Tip</w:t>
            </w:r>
          </w:p>
        </w:tc>
        <w:tc>
          <w:tcPr>
            <w:tcW w:w="1036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845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ccm</w:t>
            </w:r>
          </w:p>
        </w:tc>
        <w:tc>
          <w:tcPr>
            <w:tcW w:w="738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KW</w:t>
            </w:r>
          </w:p>
        </w:tc>
        <w:tc>
          <w:tcPr>
            <w:tcW w:w="1451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Godina proizvodnje</w:t>
            </w:r>
          </w:p>
        </w:tc>
        <w:tc>
          <w:tcPr>
            <w:tcW w:w="1292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 w:rsidRPr="002A30C8">
              <w:rPr>
                <w:rFonts w:ascii="Arial" w:hAnsi="Arial" w:cs="Arial"/>
                <w:b/>
              </w:rPr>
              <w:t>Kategorija</w:t>
            </w:r>
          </w:p>
        </w:tc>
        <w:tc>
          <w:tcPr>
            <w:tcW w:w="1341" w:type="dxa"/>
          </w:tcPr>
          <w:p w:rsidR="0047110D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Reg.oz.</w:t>
            </w:r>
          </w:p>
        </w:tc>
        <w:tc>
          <w:tcPr>
            <w:tcW w:w="1380" w:type="dxa"/>
          </w:tcPr>
          <w:p w:rsidR="0047110D" w:rsidRPr="002A30C8" w:rsidRDefault="0047110D" w:rsidP="00D6674E">
            <w:pPr>
              <w:tabs>
                <w:tab w:val="left" w:pos="68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Min. cijena vozila</w:t>
            </w:r>
          </w:p>
        </w:tc>
      </w:tr>
      <w:tr w:rsidR="0047110D" w:rsidRPr="002A30C8" w:rsidTr="0047110D">
        <w:trPr>
          <w:trHeight w:val="161"/>
        </w:trPr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Audi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A6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2976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160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2005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NK AV 629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2.689,20 €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7110D">
              <w:rPr>
                <w:rFonts w:ascii="Arial" w:hAnsi="Arial" w:cs="Arial"/>
                <w:bCs/>
              </w:rPr>
              <w:t>NK AP 529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2.525,10 €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3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AP 650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2.398,84 €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4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AP 652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3.509,88 €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5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AP 775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2.651,35 €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6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AP 954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1.641,31 €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1411E5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AR 201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2.020,08 €</w:t>
            </w:r>
          </w:p>
        </w:tc>
      </w:tr>
      <w:tr w:rsidR="0047110D" w:rsidRPr="002A30C8" w:rsidTr="00B117B0">
        <w:tc>
          <w:tcPr>
            <w:tcW w:w="909" w:type="dxa"/>
          </w:tcPr>
          <w:p w:rsidR="0047110D" w:rsidRPr="002A30C8" w:rsidRDefault="001411E5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Opel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Vektra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  <w:bCs/>
              </w:rPr>
              <w:t>1998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129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2007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47110D" w:rsidRPr="0047110D" w:rsidRDefault="0047110D" w:rsidP="0047110D">
            <w:pPr>
              <w:jc w:val="center"/>
              <w:rPr>
                <w:rFonts w:ascii="Arial" w:hAnsi="Arial" w:cs="Arial"/>
                <w:bCs/>
              </w:rPr>
            </w:pPr>
            <w:r w:rsidRPr="0047110D">
              <w:rPr>
                <w:rFonts w:ascii="Arial" w:hAnsi="Arial" w:cs="Arial"/>
                <w:bCs/>
              </w:rPr>
              <w:t>NK AR 495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3.585,64 €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1411E5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Lada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Niva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59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2002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BA AE 914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956,69 €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1411E5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Lada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Niva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59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2006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NK AS 481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1.259,44 €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1411E5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</w:t>
            </w:r>
            <w:r w:rsidR="001411E5">
              <w:rPr>
                <w:rFonts w:ascii="Arial" w:hAnsi="Arial" w:cs="Arial"/>
              </w:rPr>
              <w:t>1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Lada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Niva</w:t>
            </w:r>
          </w:p>
        </w:tc>
        <w:tc>
          <w:tcPr>
            <w:tcW w:w="845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1698</w:t>
            </w:r>
          </w:p>
        </w:tc>
        <w:tc>
          <w:tcPr>
            <w:tcW w:w="738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59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2001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ŽB AB 298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968,80 €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1411E5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</w:t>
            </w:r>
            <w:r w:rsidR="001411E5">
              <w:rPr>
                <w:rFonts w:ascii="Arial" w:hAnsi="Arial" w:cs="Arial"/>
              </w:rPr>
              <w:t>2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Lada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Karavan</w:t>
            </w:r>
          </w:p>
        </w:tc>
        <w:tc>
          <w:tcPr>
            <w:tcW w:w="845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1481</w:t>
            </w:r>
          </w:p>
        </w:tc>
        <w:tc>
          <w:tcPr>
            <w:tcW w:w="738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2001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 xml:space="preserve"> NK AJ 791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529,34 €</w:t>
            </w:r>
          </w:p>
        </w:tc>
      </w:tr>
      <w:tr w:rsidR="0047110D" w:rsidRPr="002A30C8" w:rsidTr="0047110D">
        <w:tc>
          <w:tcPr>
            <w:tcW w:w="909" w:type="dxa"/>
          </w:tcPr>
          <w:p w:rsidR="0047110D" w:rsidRPr="002A30C8" w:rsidRDefault="0047110D" w:rsidP="001411E5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1</w:t>
            </w:r>
            <w:r w:rsidR="001411E5">
              <w:rPr>
                <w:rFonts w:ascii="Arial" w:hAnsi="Arial" w:cs="Arial"/>
              </w:rPr>
              <w:t>3</w:t>
            </w:r>
          </w:p>
        </w:tc>
        <w:tc>
          <w:tcPr>
            <w:tcW w:w="92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Reno</w:t>
            </w:r>
          </w:p>
        </w:tc>
        <w:tc>
          <w:tcPr>
            <w:tcW w:w="1036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Laguna</w:t>
            </w:r>
          </w:p>
        </w:tc>
        <w:tc>
          <w:tcPr>
            <w:tcW w:w="845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</w:t>
            </w:r>
          </w:p>
        </w:tc>
        <w:tc>
          <w:tcPr>
            <w:tcW w:w="738" w:type="dxa"/>
          </w:tcPr>
          <w:p w:rsidR="0047110D" w:rsidRPr="002A30C8" w:rsidRDefault="00087852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51" w:type="dxa"/>
          </w:tcPr>
          <w:p w:rsidR="0047110D" w:rsidRPr="002A30C8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2000</w:t>
            </w:r>
          </w:p>
        </w:tc>
        <w:tc>
          <w:tcPr>
            <w:tcW w:w="1292" w:type="dxa"/>
          </w:tcPr>
          <w:p w:rsidR="0047110D" w:rsidRPr="002A30C8" w:rsidRDefault="0047110D" w:rsidP="0047110D">
            <w:pPr>
              <w:jc w:val="center"/>
              <w:rPr>
                <w:rFonts w:ascii="Arial" w:hAnsi="Arial" w:cs="Arial"/>
              </w:rPr>
            </w:pPr>
            <w:r w:rsidRPr="002A30C8">
              <w:rPr>
                <w:rFonts w:ascii="Arial" w:hAnsi="Arial" w:cs="Arial"/>
              </w:rPr>
              <w:t>Putnički automobil</w:t>
            </w:r>
          </w:p>
        </w:tc>
        <w:tc>
          <w:tcPr>
            <w:tcW w:w="1341" w:type="dxa"/>
          </w:tcPr>
          <w:p w:rsidR="0047110D" w:rsidRPr="0047110D" w:rsidRDefault="0047110D" w:rsidP="0047110D">
            <w:pPr>
              <w:tabs>
                <w:tab w:val="left" w:pos="6810"/>
              </w:tabs>
              <w:jc w:val="center"/>
              <w:rPr>
                <w:rFonts w:ascii="Arial" w:hAnsi="Arial" w:cs="Arial"/>
              </w:rPr>
            </w:pPr>
            <w:r w:rsidRPr="0047110D">
              <w:rPr>
                <w:rFonts w:ascii="Arial" w:hAnsi="Arial" w:cs="Arial"/>
              </w:rPr>
              <w:t>NK AP 659</w:t>
            </w:r>
          </w:p>
        </w:tc>
        <w:tc>
          <w:tcPr>
            <w:tcW w:w="1380" w:type="dxa"/>
          </w:tcPr>
          <w:p w:rsidR="0047110D" w:rsidRPr="002A30C8" w:rsidRDefault="00087852" w:rsidP="00471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1.228,57 €</w:t>
            </w:r>
          </w:p>
        </w:tc>
      </w:tr>
    </w:tbl>
    <w:p w:rsidR="00AC6337" w:rsidRDefault="00AC6337" w:rsidP="003A664D">
      <w:pPr>
        <w:spacing w:after="0" w:line="240" w:lineRule="auto"/>
        <w:jc w:val="both"/>
        <w:rPr>
          <w:rFonts w:ascii="Arial" w:hAnsi="Arial" w:cs="Arial"/>
        </w:rPr>
      </w:pPr>
    </w:p>
    <w:p w:rsidR="003A664D" w:rsidRPr="003D4895" w:rsidRDefault="00AC6337" w:rsidP="00A810A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A664D" w:rsidRPr="003D4895">
        <w:rPr>
          <w:rFonts w:ascii="Arial" w:hAnsi="Arial" w:cs="Arial"/>
          <w:b/>
        </w:rPr>
        <w:t>. Uslovi nadmetanja</w:t>
      </w:r>
    </w:p>
    <w:p w:rsidR="00C47E74" w:rsidRDefault="003A664D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Postupak prodaje sprovešće se putem dostavljanja </w:t>
      </w:r>
      <w:r w:rsidR="00850A3B">
        <w:rPr>
          <w:rFonts w:ascii="Arial" w:hAnsi="Arial" w:cs="Arial"/>
        </w:rPr>
        <w:t xml:space="preserve">pisanih </w:t>
      </w:r>
      <w:r>
        <w:rPr>
          <w:rFonts w:ascii="Arial" w:hAnsi="Arial" w:cs="Arial"/>
        </w:rPr>
        <w:t>ponuda.</w:t>
      </w:r>
    </w:p>
    <w:p w:rsidR="00904A35" w:rsidRDefault="0095481A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Vozila</w:t>
      </w:r>
      <w:r w:rsidR="00850A3B">
        <w:rPr>
          <w:rFonts w:ascii="Arial" w:hAnsi="Arial" w:cs="Arial"/>
        </w:rPr>
        <w:t xml:space="preserve"> se kupuju u viđenom stanju, </w:t>
      </w:r>
      <w:r w:rsidR="00C47E74">
        <w:rPr>
          <w:rFonts w:ascii="Arial" w:hAnsi="Arial" w:cs="Arial"/>
        </w:rPr>
        <w:t>bez prava na naknadnu reklamaciju.</w:t>
      </w:r>
    </w:p>
    <w:p w:rsidR="00CA749F" w:rsidRPr="00F467C0" w:rsidRDefault="00904A35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Pisane ponude se mogu podnositi za </w:t>
      </w:r>
      <w:r w:rsidR="001B662B">
        <w:rPr>
          <w:rFonts w:ascii="Arial" w:hAnsi="Arial" w:cs="Arial"/>
        </w:rPr>
        <w:t>pojedinačno određen</w:t>
      </w:r>
      <w:r w:rsidR="0095481A">
        <w:rPr>
          <w:rFonts w:ascii="Arial" w:hAnsi="Arial" w:cs="Arial"/>
        </w:rPr>
        <w:t>a vozila koja</w:t>
      </w:r>
      <w:r>
        <w:rPr>
          <w:rFonts w:ascii="Arial" w:hAnsi="Arial" w:cs="Arial"/>
        </w:rPr>
        <w:t xml:space="preserve"> </w:t>
      </w:r>
      <w:r w:rsidR="00AC6337">
        <w:rPr>
          <w:rFonts w:ascii="Arial" w:hAnsi="Arial" w:cs="Arial"/>
        </w:rPr>
        <w:t>su predmet prodaje.</w:t>
      </w:r>
    </w:p>
    <w:p w:rsidR="00904A35" w:rsidRDefault="003A664D" w:rsidP="00A810AB">
      <w:pPr>
        <w:spacing w:after="0" w:line="240" w:lineRule="auto"/>
        <w:ind w:left="425"/>
        <w:jc w:val="both"/>
        <w:rPr>
          <w:rFonts w:ascii="Arial" w:hAnsi="Arial" w:cs="Arial"/>
        </w:rPr>
      </w:pPr>
      <w:r w:rsidRPr="00D0483D">
        <w:rPr>
          <w:rFonts w:ascii="Arial" w:hAnsi="Arial" w:cs="Arial"/>
        </w:rPr>
        <w:t xml:space="preserve">Pravo da učestvuju </w:t>
      </w:r>
      <w:r w:rsidR="00C47E74">
        <w:rPr>
          <w:rFonts w:ascii="Arial" w:hAnsi="Arial" w:cs="Arial"/>
        </w:rPr>
        <w:t>na nadmetanju</w:t>
      </w:r>
      <w:r>
        <w:rPr>
          <w:rFonts w:ascii="Arial" w:hAnsi="Arial" w:cs="Arial"/>
        </w:rPr>
        <w:t xml:space="preserve"> imaju podnosioci </w:t>
      </w:r>
      <w:r w:rsidR="00904A35">
        <w:rPr>
          <w:rFonts w:ascii="Arial" w:hAnsi="Arial" w:cs="Arial"/>
        </w:rPr>
        <w:t>ponuda,</w:t>
      </w:r>
      <w:r>
        <w:rPr>
          <w:rFonts w:ascii="Arial" w:hAnsi="Arial" w:cs="Arial"/>
        </w:rPr>
        <w:t xml:space="preserve"> odnosno sva domaća i strana pravna i fizička lica, koja uplate depozit u iznosu od </w:t>
      </w:r>
      <w:r w:rsidR="00AC6337">
        <w:rPr>
          <w:rFonts w:ascii="Arial" w:hAnsi="Arial" w:cs="Arial"/>
        </w:rPr>
        <w:t>10% minimalne</w:t>
      </w:r>
      <w:r w:rsidR="00AC6337" w:rsidRPr="00AC6337">
        <w:rPr>
          <w:rFonts w:ascii="Arial" w:hAnsi="Arial" w:cs="Arial"/>
        </w:rPr>
        <w:t xml:space="preserve"> cijena vozila</w:t>
      </w:r>
      <w:r w:rsidR="00AC6337">
        <w:rPr>
          <w:rFonts w:ascii="Arial" w:hAnsi="Arial" w:cs="Arial"/>
        </w:rPr>
        <w:t xml:space="preserve"> za koje se predaje ponuda</w:t>
      </w:r>
      <w:r w:rsidR="000A22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Depozit se uplaćuje na žiro račun  Elektroprivrede Crne Gore AD Nikšić broj </w:t>
      </w:r>
      <w:r>
        <w:rPr>
          <w:rFonts w:ascii="Arial" w:hAnsi="Arial" w:cs="Arial"/>
        </w:rPr>
        <w:lastRenderedPageBreak/>
        <w:t>535-55-11</w:t>
      </w:r>
      <w:r w:rsidR="00C47E74">
        <w:rPr>
          <w:rFonts w:ascii="Arial" w:hAnsi="Arial" w:cs="Arial"/>
        </w:rPr>
        <w:t xml:space="preserve">, koji se vodi </w:t>
      </w:r>
      <w:r>
        <w:rPr>
          <w:rFonts w:ascii="Arial" w:hAnsi="Arial" w:cs="Arial"/>
        </w:rPr>
        <w:t>kod Prve banke Crne Gore</w:t>
      </w:r>
      <w:r w:rsidR="00AC6337">
        <w:rPr>
          <w:rFonts w:ascii="Arial" w:hAnsi="Arial" w:cs="Arial"/>
        </w:rPr>
        <w:t>, sa napomenom: „Uplata radi učešća u postupku prodaje vozila“.</w:t>
      </w:r>
      <w:r w:rsidR="00A810AB">
        <w:rPr>
          <w:rFonts w:ascii="Arial" w:hAnsi="Arial" w:cs="Arial"/>
        </w:rPr>
        <w:t xml:space="preserve"> </w:t>
      </w:r>
    </w:p>
    <w:p w:rsidR="00904A35" w:rsidRDefault="00904A35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Učesnici u nadmetanju dužni su dostaviti ponudu u koverti sa oznakom „JAVNI POZIV za prikupljanje pisanih ponuda radi prodaje </w:t>
      </w:r>
      <w:r w:rsidR="0095481A">
        <w:rPr>
          <w:rFonts w:ascii="Arial" w:hAnsi="Arial" w:cs="Arial"/>
        </w:rPr>
        <w:t>vozila</w:t>
      </w:r>
      <w:r>
        <w:rPr>
          <w:rFonts w:ascii="Arial" w:hAnsi="Arial" w:cs="Arial"/>
        </w:rPr>
        <w:t>“ i „NE OTVARAJ, prije zvaničnog zasijedanja Komisije za otvaranje i vrednovanje ponuda“.</w:t>
      </w:r>
    </w:p>
    <w:p w:rsidR="00904A35" w:rsidRPr="00BB2606" w:rsidRDefault="00904A35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904A35" w:rsidRDefault="00904A35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Ponuda treba da sadrži:</w:t>
      </w:r>
    </w:p>
    <w:p w:rsidR="00904A35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sa podacima:</w:t>
      </w:r>
    </w:p>
    <w:p w:rsidR="00904A35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fizička lica: ime i prezime, adresa stanovanja, JMB, broj lič</w:t>
      </w:r>
      <w:r w:rsidR="000A2215">
        <w:rPr>
          <w:rFonts w:ascii="Arial" w:hAnsi="Arial" w:cs="Arial"/>
        </w:rPr>
        <w:t>n</w:t>
      </w:r>
      <w:r>
        <w:rPr>
          <w:rFonts w:ascii="Arial" w:hAnsi="Arial" w:cs="Arial"/>
        </w:rPr>
        <w:t>e karte ili paso</w:t>
      </w:r>
      <w:r w:rsidR="00D22FE1">
        <w:rPr>
          <w:rFonts w:ascii="Arial" w:hAnsi="Arial" w:cs="Arial"/>
        </w:rPr>
        <w:t>ša, žiro račun, kontakt telefon;</w:t>
      </w:r>
    </w:p>
    <w:p w:rsidR="00904A35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pravna lica: naziv, sjedište, adresu, PIB, matični broj, izvod iz CRPS-a, ime i prezima i funkciju lica za zastupanje i naziv banke sa brojem žiro računa za vraćanje depozita.</w:t>
      </w:r>
    </w:p>
    <w:p w:rsidR="00904A35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Ponuđenu cijenu,</w:t>
      </w:r>
    </w:p>
    <w:p w:rsidR="00904A35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uplati depozita.</w:t>
      </w:r>
    </w:p>
    <w:p w:rsidR="00904A35" w:rsidRPr="00BB2606" w:rsidRDefault="00904A35" w:rsidP="00904A35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14"/>
        </w:rPr>
      </w:pPr>
    </w:p>
    <w:p w:rsidR="001A49F2" w:rsidRDefault="00904A35" w:rsidP="00904A35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Prijava i ponuda za učešće na nadmetanju podnosi se neposredno ili putem pošte na adresu </w:t>
      </w:r>
      <w:r w:rsidR="001A49F2">
        <w:rPr>
          <w:rFonts w:ascii="Arial" w:hAnsi="Arial" w:cs="Arial"/>
        </w:rPr>
        <w:t xml:space="preserve">Elektroprivrede Crne Gore AD Nikšić, ul. Vuka Karadžića br. 2, Nikšić, zaključno sa </w:t>
      </w:r>
      <w:r w:rsidR="00E92D68">
        <w:rPr>
          <w:rFonts w:ascii="Arial" w:hAnsi="Arial" w:cs="Arial"/>
        </w:rPr>
        <w:t>22.11</w:t>
      </w:r>
      <w:r w:rsidR="0095481A">
        <w:rPr>
          <w:rFonts w:ascii="Arial" w:hAnsi="Arial" w:cs="Arial"/>
        </w:rPr>
        <w:t>.</w:t>
      </w:r>
      <w:r w:rsidR="001A49F2">
        <w:rPr>
          <w:rFonts w:ascii="Arial" w:hAnsi="Arial" w:cs="Arial"/>
        </w:rPr>
        <w:t xml:space="preserve"> 201</w:t>
      </w:r>
      <w:r w:rsidR="00AC6337">
        <w:rPr>
          <w:rFonts w:ascii="Arial" w:hAnsi="Arial" w:cs="Arial"/>
        </w:rPr>
        <w:t>6</w:t>
      </w:r>
      <w:r w:rsidR="001A49F2">
        <w:rPr>
          <w:rFonts w:ascii="Arial" w:hAnsi="Arial" w:cs="Arial"/>
        </w:rPr>
        <w:t xml:space="preserve">.godine do </w:t>
      </w:r>
      <w:r w:rsidR="0095481A">
        <w:rPr>
          <w:rFonts w:ascii="Arial" w:hAnsi="Arial" w:cs="Arial"/>
        </w:rPr>
        <w:t>10</w:t>
      </w:r>
      <w:r w:rsidR="001A49F2">
        <w:rPr>
          <w:rFonts w:ascii="Arial" w:hAnsi="Arial" w:cs="Arial"/>
        </w:rPr>
        <w:t xml:space="preserve"> časova.</w:t>
      </w:r>
    </w:p>
    <w:p w:rsidR="001A49F2" w:rsidRPr="00BB2606" w:rsidRDefault="001A49F2" w:rsidP="00904A35">
      <w:pPr>
        <w:spacing w:after="0" w:line="240" w:lineRule="auto"/>
        <w:ind w:left="426"/>
        <w:jc w:val="both"/>
        <w:rPr>
          <w:rFonts w:ascii="Arial" w:hAnsi="Arial" w:cs="Arial"/>
          <w:sz w:val="14"/>
        </w:rPr>
      </w:pPr>
    </w:p>
    <w:p w:rsidR="00AC6337" w:rsidRDefault="0095481A" w:rsidP="00A36E67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Predmetna</w:t>
      </w:r>
      <w:r w:rsidR="00A36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vozila</w:t>
      </w:r>
      <w:r w:rsidR="00A36E67">
        <w:rPr>
          <w:rFonts w:ascii="Arial" w:hAnsi="Arial" w:cs="Arial"/>
        </w:rPr>
        <w:t xml:space="preserve"> se </w:t>
      </w:r>
      <w:r w:rsidR="00AC6337">
        <w:rPr>
          <w:rFonts w:ascii="Arial" w:hAnsi="Arial" w:cs="Arial"/>
        </w:rPr>
        <w:t xml:space="preserve">nalaze u Nikšiću i </w:t>
      </w:r>
      <w:r w:rsidR="00A36E67">
        <w:rPr>
          <w:rFonts w:ascii="Arial" w:hAnsi="Arial" w:cs="Arial"/>
        </w:rPr>
        <w:t xml:space="preserve">mogu </w:t>
      </w:r>
      <w:r w:rsidR="002E1FB7">
        <w:rPr>
          <w:rFonts w:ascii="Arial" w:hAnsi="Arial" w:cs="Arial"/>
        </w:rPr>
        <w:t xml:space="preserve">se </w:t>
      </w:r>
      <w:r w:rsidR="00A36E67">
        <w:rPr>
          <w:rFonts w:ascii="Arial" w:hAnsi="Arial" w:cs="Arial"/>
        </w:rPr>
        <w:t xml:space="preserve">pogledati, u prisustvu ovlašćenog lica, do dana otvaranja ponuda, o čemu se informacije mogu dobiti na kontakt telefon </w:t>
      </w:r>
    </w:p>
    <w:p w:rsidR="001A49F2" w:rsidRDefault="00A36E67" w:rsidP="00A36E67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br. </w:t>
      </w:r>
      <w:r w:rsidR="00AC6337">
        <w:rPr>
          <w:rFonts w:ascii="Arial" w:hAnsi="Arial" w:cs="Arial"/>
        </w:rPr>
        <w:t>067-607-</w:t>
      </w:r>
      <w:r w:rsidR="0001443C">
        <w:rPr>
          <w:rFonts w:ascii="Arial" w:hAnsi="Arial" w:cs="Arial"/>
        </w:rPr>
        <w:t>902.</w:t>
      </w:r>
    </w:p>
    <w:p w:rsidR="001A49F2" w:rsidRPr="00BB2606" w:rsidRDefault="001A49F2" w:rsidP="001A49F2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3D4895" w:rsidRDefault="002E1FB7" w:rsidP="001A49F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D4895">
        <w:rPr>
          <w:rFonts w:ascii="Arial" w:hAnsi="Arial" w:cs="Arial"/>
          <w:b/>
        </w:rPr>
        <w:t xml:space="preserve">. Mjesto i vrijeme </w:t>
      </w:r>
      <w:r w:rsidR="003A664D">
        <w:rPr>
          <w:rFonts w:ascii="Arial" w:hAnsi="Arial" w:cs="Arial"/>
          <w:b/>
        </w:rPr>
        <w:t>otvaranja ponuda</w:t>
      </w:r>
    </w:p>
    <w:p w:rsidR="001A49F2" w:rsidRPr="00BB2606" w:rsidRDefault="001A49F2" w:rsidP="001A49F2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3D4895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Otvaranje ponuda izvršiće se dana </w:t>
      </w:r>
      <w:r w:rsidR="00E92D68">
        <w:rPr>
          <w:rFonts w:ascii="Arial" w:hAnsi="Arial" w:cs="Arial"/>
        </w:rPr>
        <w:t>22.11</w:t>
      </w:r>
      <w:r w:rsidR="00AC6337">
        <w:rPr>
          <w:rFonts w:ascii="Arial" w:hAnsi="Arial" w:cs="Arial"/>
        </w:rPr>
        <w:t>.</w:t>
      </w:r>
      <w:r>
        <w:rPr>
          <w:rFonts w:ascii="Arial" w:hAnsi="Arial" w:cs="Arial"/>
        </w:rPr>
        <w:t>201</w:t>
      </w:r>
      <w:r w:rsidR="00AC6337">
        <w:rPr>
          <w:rFonts w:ascii="Arial" w:hAnsi="Arial" w:cs="Arial"/>
        </w:rPr>
        <w:t>6</w:t>
      </w:r>
      <w:r>
        <w:rPr>
          <w:rFonts w:ascii="Arial" w:hAnsi="Arial" w:cs="Arial"/>
        </w:rPr>
        <w:t>.godine,</w:t>
      </w:r>
      <w:r w:rsidR="003D4895" w:rsidRPr="003D4895">
        <w:rPr>
          <w:rFonts w:ascii="Arial" w:hAnsi="Arial" w:cs="Arial"/>
        </w:rPr>
        <w:t xml:space="preserve"> u prostorijama Elektroprivrede Crne Gore AD Nikšić</w:t>
      </w:r>
      <w:r w:rsidR="003D4895">
        <w:rPr>
          <w:rFonts w:ascii="Arial" w:hAnsi="Arial" w:cs="Arial"/>
        </w:rPr>
        <w:t xml:space="preserve">, ul. Vuka Karadžića 2, </w:t>
      </w:r>
      <w:r>
        <w:rPr>
          <w:rFonts w:ascii="Arial" w:hAnsi="Arial" w:cs="Arial"/>
        </w:rPr>
        <w:t xml:space="preserve">Nikšić, sa početkom </w:t>
      </w:r>
      <w:r w:rsidR="003D4895">
        <w:rPr>
          <w:rFonts w:ascii="Arial" w:hAnsi="Arial" w:cs="Arial"/>
        </w:rPr>
        <w:t xml:space="preserve">u </w:t>
      </w:r>
      <w:r w:rsidR="0001443C">
        <w:rPr>
          <w:rFonts w:ascii="Arial" w:hAnsi="Arial" w:cs="Arial"/>
        </w:rPr>
        <w:t>1</w:t>
      </w:r>
      <w:r w:rsidR="00AC6337">
        <w:rPr>
          <w:rFonts w:ascii="Arial" w:hAnsi="Arial" w:cs="Arial"/>
        </w:rPr>
        <w:t>1:0</w:t>
      </w:r>
      <w:r w:rsidR="0001443C">
        <w:rPr>
          <w:rFonts w:ascii="Arial" w:hAnsi="Arial" w:cs="Arial"/>
        </w:rPr>
        <w:t xml:space="preserve">0 </w:t>
      </w:r>
      <w:r w:rsidR="003D4895">
        <w:rPr>
          <w:rFonts w:ascii="Arial" w:hAnsi="Arial" w:cs="Arial"/>
        </w:rPr>
        <w:t>časova</w:t>
      </w:r>
      <w:r>
        <w:rPr>
          <w:rFonts w:ascii="Arial" w:hAnsi="Arial" w:cs="Arial"/>
        </w:rPr>
        <w:t>, o čemu se na ovaj način obavještavaju ponuđači</w:t>
      </w:r>
      <w:r w:rsidR="003D4895">
        <w:rPr>
          <w:rFonts w:ascii="Arial" w:hAnsi="Arial" w:cs="Arial"/>
        </w:rPr>
        <w:t>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Otvaranju ponuda mogu prisustvovati ponuđači ili njihovi opunomoćeni predsta</w:t>
      </w:r>
      <w:r w:rsidR="00D65E64">
        <w:rPr>
          <w:rFonts w:ascii="Arial" w:hAnsi="Arial" w:cs="Arial"/>
        </w:rPr>
        <w:t>vnici, te im se posebno obavješ</w:t>
      </w:r>
      <w:r>
        <w:rPr>
          <w:rFonts w:ascii="Arial" w:hAnsi="Arial" w:cs="Arial"/>
        </w:rPr>
        <w:t>tenje neće slati.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Ponude dostavljene nakon roka iz tačke </w:t>
      </w:r>
      <w:r w:rsidR="002E1FB7">
        <w:rPr>
          <w:rFonts w:ascii="Arial" w:hAnsi="Arial" w:cs="Arial"/>
        </w:rPr>
        <w:t>2</w:t>
      </w:r>
      <w:r>
        <w:rPr>
          <w:rFonts w:ascii="Arial" w:hAnsi="Arial" w:cs="Arial"/>
        </w:rPr>
        <w:t>. ovog Javnog poziva, kao i ponude koje su nepotpune neće se razmatrati.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763443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Ovlašćeno lice Naručioca će</w:t>
      </w:r>
      <w:r w:rsidRPr="00763443">
        <w:t xml:space="preserve"> </w:t>
      </w:r>
      <w:r w:rsidRPr="00763443">
        <w:rPr>
          <w:rFonts w:ascii="Arial" w:hAnsi="Arial" w:cs="Arial"/>
        </w:rPr>
        <w:t>donijeti Odluku o izboru najpovoljnije ponude</w:t>
      </w:r>
      <w:r>
        <w:rPr>
          <w:rFonts w:ascii="Arial" w:hAnsi="Arial" w:cs="Arial"/>
        </w:rPr>
        <w:t xml:space="preserve"> na predlog Komisije</w:t>
      </w:r>
      <w:r w:rsidR="001A49F2">
        <w:rPr>
          <w:rFonts w:ascii="Arial" w:hAnsi="Arial" w:cs="Arial"/>
        </w:rPr>
        <w:t xml:space="preserve"> za otvaranje i vrednovanje ponuda, u roku od </w:t>
      </w:r>
      <w:r w:rsidR="00A810AB">
        <w:rPr>
          <w:rFonts w:ascii="Arial" w:hAnsi="Arial" w:cs="Arial"/>
        </w:rPr>
        <w:t>20</w:t>
      </w:r>
      <w:r w:rsidR="001A49F2">
        <w:rPr>
          <w:rFonts w:ascii="Arial" w:hAnsi="Arial" w:cs="Arial"/>
        </w:rPr>
        <w:t xml:space="preserve"> dana od dana otvaranja ponuda.</w:t>
      </w:r>
    </w:p>
    <w:p w:rsidR="00A810AB" w:rsidRPr="00BB2606" w:rsidRDefault="00A810AB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763443" w:rsidRDefault="00763443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Izabrani Kupac je u obavezi da potvrdi prijem Odluke u roku od tri dana od dana prijema Odluke. </w:t>
      </w:r>
    </w:p>
    <w:p w:rsidR="00763443" w:rsidRDefault="00763443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A810AB" w:rsidRDefault="00A810AB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Period važenja ponude je 60 dana.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Kriterijum za rangiranje prispjelih ponuda je najviša ponuđena cijena.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Kupac je dužan da zaključi Ugovor o prodaji, u roku od 7 (sedam) dana od dana </w:t>
      </w:r>
      <w:r w:rsidR="00763443">
        <w:rPr>
          <w:rFonts w:ascii="Arial" w:hAnsi="Arial" w:cs="Arial"/>
        </w:rPr>
        <w:t>prijema</w:t>
      </w:r>
      <w:r>
        <w:rPr>
          <w:rFonts w:ascii="Arial" w:hAnsi="Arial" w:cs="Arial"/>
        </w:rPr>
        <w:t xml:space="preserve"> Odluke o izboru najpovoljnijeg ponuđača.</w:t>
      </w:r>
      <w:r w:rsidR="0001443C">
        <w:rPr>
          <w:rFonts w:ascii="Arial" w:hAnsi="Arial" w:cs="Arial"/>
        </w:rPr>
        <w:t xml:space="preserve"> </w:t>
      </w:r>
    </w:p>
    <w:p w:rsidR="0001443C" w:rsidRPr="00BB2606" w:rsidRDefault="0001443C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Kupoprodajna cijena se plaća najkasnije u roku od 8 (osam) dana od dana zaključena Ugovora o prodaji.</w:t>
      </w:r>
    </w:p>
    <w:p w:rsidR="001411E5" w:rsidRDefault="001411E5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411E5" w:rsidRDefault="001411E5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Kupac snosi troškove prevoda vozila.</w:t>
      </w: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1A49F2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slučaju da izabrani ponuđač odustane od kupovine, odnosno ukoliko ne potpiše Ugovor o prodaji </w:t>
      </w:r>
      <w:r w:rsidR="00763443">
        <w:rPr>
          <w:rFonts w:ascii="Arial" w:hAnsi="Arial" w:cs="Arial"/>
        </w:rPr>
        <w:t xml:space="preserve">u definisanom roku </w:t>
      </w:r>
      <w:r>
        <w:rPr>
          <w:rFonts w:ascii="Arial" w:hAnsi="Arial" w:cs="Arial"/>
        </w:rPr>
        <w:t xml:space="preserve">ili ne isplati kupoprodajnu cijenu u predviđenom roku, gubi pravo na povraćaj uplaćenog depozita. U tom slučaju Ugovor se može zaključiti sa drugorangiranim ponuđačem. 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B662B" w:rsidRDefault="001A49F2" w:rsidP="001B662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Ponuđačima čija se ponuda ne prihvati zbog određenih nedostataka, iznos depozita će biti vraćen u roku od 3 (tri) dana od dana donošenja Odluke o izboru najpovoljnije ponude.</w:t>
      </w:r>
      <w:r w:rsidR="001B662B">
        <w:rPr>
          <w:rFonts w:ascii="Arial" w:hAnsi="Arial" w:cs="Arial"/>
        </w:rPr>
        <w:t xml:space="preserve"> </w:t>
      </w:r>
      <w:r w:rsidR="00D65E64">
        <w:rPr>
          <w:rFonts w:ascii="Arial" w:hAnsi="Arial" w:cs="Arial"/>
        </w:rPr>
        <w:t>Ostalim ponuđačima čije su ponude odbijene ili rangirane iza izabranog ponuđača, uplaćeni iznos depozita će biti vraćen u roku od 8 (osam) dana od dana zaključenja Ugovora o prodaji.</w:t>
      </w:r>
    </w:p>
    <w:p w:rsidR="001A49F2" w:rsidRPr="00BB2606" w:rsidRDefault="001A49F2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1B662B" w:rsidRDefault="001A49F2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Depozit izabranog pon</w:t>
      </w:r>
      <w:r w:rsidR="002510F4">
        <w:rPr>
          <w:rFonts w:ascii="Arial" w:hAnsi="Arial" w:cs="Arial"/>
        </w:rPr>
        <w:t>uđača sa najpovoljnijom ponudom</w:t>
      </w:r>
      <w:r>
        <w:rPr>
          <w:rFonts w:ascii="Arial" w:hAnsi="Arial" w:cs="Arial"/>
        </w:rPr>
        <w:t xml:space="preserve"> </w:t>
      </w:r>
      <w:r w:rsidR="001B662B">
        <w:rPr>
          <w:rFonts w:ascii="Arial" w:hAnsi="Arial" w:cs="Arial"/>
        </w:rPr>
        <w:t>se zadržava i za taj iznos se umanjuje kupoprodajna cijena.</w:t>
      </w:r>
    </w:p>
    <w:p w:rsidR="00D65E64" w:rsidRPr="00BB2606" w:rsidRDefault="00D65E64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Elektroprivreda Crne Gore AD Nikšić, ima pravo, sve do zaklju</w:t>
      </w:r>
      <w:r w:rsidR="0001443C">
        <w:rPr>
          <w:rFonts w:ascii="Arial" w:hAnsi="Arial" w:cs="Arial"/>
        </w:rPr>
        <w:t xml:space="preserve">čenja Ugovora o prodaji, iz </w:t>
      </w:r>
      <w:r>
        <w:rPr>
          <w:rFonts w:ascii="Arial" w:hAnsi="Arial" w:cs="Arial"/>
        </w:rPr>
        <w:t xml:space="preserve"> </w:t>
      </w:r>
      <w:r w:rsidR="0001443C">
        <w:rPr>
          <w:rFonts w:ascii="Arial" w:hAnsi="Arial" w:cs="Arial"/>
        </w:rPr>
        <w:t>razloga prestanka potrebe za prodajom</w:t>
      </w:r>
      <w:r>
        <w:rPr>
          <w:rFonts w:ascii="Arial" w:hAnsi="Arial" w:cs="Arial"/>
        </w:rPr>
        <w:t>, da ne zaključi Ugovor o prodaji ni sa jednim od ponuđača. U slučaju odustanka od zaključenja Ugovora o prodaji, ponuđači, ni bilo koje pravno niti fizičko lice neće imati pravo da zahtijevaju bilo kakvu naknadu štete i troškova nastalih kao direktna ili indirektna posledica učešća na ovom Javnom pozivu.</w:t>
      </w:r>
    </w:p>
    <w:p w:rsidR="00D65E64" w:rsidRPr="00BB2606" w:rsidRDefault="00D65E64" w:rsidP="00850A3B">
      <w:pPr>
        <w:spacing w:after="0" w:line="240" w:lineRule="auto"/>
        <w:ind w:left="425"/>
        <w:jc w:val="both"/>
        <w:rPr>
          <w:rFonts w:ascii="Arial" w:hAnsi="Arial" w:cs="Arial"/>
          <w:sz w:val="14"/>
        </w:rPr>
      </w:pP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Bliže informacije po ovom Javnom pozivu mogu se dobiti na kontakt telefon br. </w:t>
      </w:r>
      <w:r w:rsidR="0001443C">
        <w:rPr>
          <w:rFonts w:ascii="Arial" w:hAnsi="Arial" w:cs="Arial"/>
        </w:rPr>
        <w:t>067607</w:t>
      </w:r>
      <w:r w:rsidR="0001443C" w:rsidRPr="0001443C">
        <w:rPr>
          <w:rFonts w:ascii="Arial" w:hAnsi="Arial" w:cs="Arial"/>
        </w:rPr>
        <w:t>902</w:t>
      </w:r>
      <w:r w:rsidR="0001443C">
        <w:rPr>
          <w:rFonts w:ascii="Arial" w:hAnsi="Arial" w:cs="Arial"/>
        </w:rPr>
        <w:t>.</w:t>
      </w:r>
    </w:p>
    <w:p w:rsidR="00D65E64" w:rsidRDefault="00D65E64" w:rsidP="00850A3B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01443C" w:rsidRPr="005C3955" w:rsidRDefault="0001443C" w:rsidP="00AC6337">
      <w:pPr>
        <w:spacing w:after="0" w:line="240" w:lineRule="auto"/>
        <w:rPr>
          <w:rFonts w:ascii="Arial" w:hAnsi="Arial" w:cs="Arial"/>
        </w:rPr>
      </w:pPr>
    </w:p>
    <w:p w:rsidR="00140908" w:rsidRPr="005C3955" w:rsidRDefault="00140908" w:rsidP="00850A3B">
      <w:pPr>
        <w:spacing w:after="0" w:line="240" w:lineRule="auto"/>
        <w:ind w:left="425"/>
        <w:rPr>
          <w:rFonts w:ascii="Arial" w:hAnsi="Arial" w:cs="Arial"/>
        </w:rPr>
      </w:pPr>
    </w:p>
    <w:sectPr w:rsidR="00140908" w:rsidRPr="005C3955" w:rsidSect="008761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405F9"/>
    <w:rsid w:val="00086688"/>
    <w:rsid w:val="00087852"/>
    <w:rsid w:val="000A2215"/>
    <w:rsid w:val="00140908"/>
    <w:rsid w:val="001411E5"/>
    <w:rsid w:val="001871B8"/>
    <w:rsid w:val="001A49F2"/>
    <w:rsid w:val="001B662B"/>
    <w:rsid w:val="002510F4"/>
    <w:rsid w:val="002E1FB7"/>
    <w:rsid w:val="002F68FE"/>
    <w:rsid w:val="003A664D"/>
    <w:rsid w:val="003D4895"/>
    <w:rsid w:val="003D4BEF"/>
    <w:rsid w:val="0047110D"/>
    <w:rsid w:val="0048384B"/>
    <w:rsid w:val="00577317"/>
    <w:rsid w:val="005C3955"/>
    <w:rsid w:val="00763443"/>
    <w:rsid w:val="007F3851"/>
    <w:rsid w:val="00850A3B"/>
    <w:rsid w:val="00901C58"/>
    <w:rsid w:val="00904A35"/>
    <w:rsid w:val="0091653E"/>
    <w:rsid w:val="00924D91"/>
    <w:rsid w:val="0095481A"/>
    <w:rsid w:val="00A36E67"/>
    <w:rsid w:val="00A810AB"/>
    <w:rsid w:val="00AC6337"/>
    <w:rsid w:val="00B60B49"/>
    <w:rsid w:val="00BB2606"/>
    <w:rsid w:val="00C47E74"/>
    <w:rsid w:val="00CA749F"/>
    <w:rsid w:val="00CF14D3"/>
    <w:rsid w:val="00D0483D"/>
    <w:rsid w:val="00D22FE1"/>
    <w:rsid w:val="00D65E64"/>
    <w:rsid w:val="00E92D68"/>
    <w:rsid w:val="00F467C0"/>
    <w:rsid w:val="00F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uiPriority w:val="59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Marko Buric</cp:lastModifiedBy>
  <cp:revision>2</cp:revision>
  <dcterms:created xsi:type="dcterms:W3CDTF">2016-11-08T12:39:00Z</dcterms:created>
  <dcterms:modified xsi:type="dcterms:W3CDTF">2016-11-08T12:39:00Z</dcterms:modified>
</cp:coreProperties>
</file>