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0A4BA" w14:textId="72D8F096" w:rsidR="001E21D8" w:rsidRPr="004865B4" w:rsidRDefault="004865B4" w:rsidP="001E21D8">
      <w:pPr>
        <w:pStyle w:val="BodyText3"/>
        <w:spacing w:beforeLines="50" w:before="120" w:afterLines="50"/>
        <w:jc w:val="center"/>
        <w:rPr>
          <w:b/>
          <w:sz w:val="24"/>
          <w:szCs w:val="24"/>
          <w:lang w:val="en-GB"/>
        </w:rPr>
      </w:pPr>
      <w:r w:rsidRPr="004865B4">
        <w:rPr>
          <w:b/>
          <w:sz w:val="24"/>
          <w:szCs w:val="24"/>
          <w:lang w:val="en-GB"/>
        </w:rPr>
        <w:t xml:space="preserve">Greening Public Infrastructure - Promotion of Energy-Efficiency and Upgrade of Hydro Power Plant </w:t>
      </w:r>
      <w:proofErr w:type="spellStart"/>
      <w:r w:rsidRPr="004865B4">
        <w:rPr>
          <w:b/>
          <w:sz w:val="24"/>
          <w:szCs w:val="24"/>
          <w:lang w:val="en-GB"/>
        </w:rPr>
        <w:t>Perućica</w:t>
      </w:r>
      <w:proofErr w:type="spellEnd"/>
      <w:r w:rsidRPr="004865B4">
        <w:rPr>
          <w:b/>
          <w:sz w:val="24"/>
          <w:szCs w:val="24"/>
          <w:lang w:val="en-GB"/>
        </w:rPr>
        <w:t>, Consultancy Services, Montenegro</w:t>
      </w:r>
    </w:p>
    <w:p w14:paraId="15329448" w14:textId="77777777" w:rsidR="003A1DB3" w:rsidRDefault="003A1DB3">
      <w:pPr>
        <w:rPr>
          <w:b/>
          <w:sz w:val="24"/>
          <w:szCs w:val="24"/>
          <w:lang w:val="en-US"/>
        </w:rPr>
      </w:pPr>
    </w:p>
    <w:p w14:paraId="20A99170" w14:textId="77777777" w:rsidR="00BC2956" w:rsidRDefault="00BC2956">
      <w:bookmarkStart w:id="0" w:name="_GoBack"/>
      <w:bookmarkEnd w:id="0"/>
    </w:p>
    <w:tbl>
      <w:tblPr>
        <w:tblW w:w="0" w:type="auto"/>
        <w:tblBorders>
          <w:top w:val="single" w:sz="4" w:space="0" w:color="auto"/>
          <w:bottom w:val="single" w:sz="4" w:space="0" w:color="auto"/>
        </w:tblBorders>
        <w:tblLook w:val="01E0" w:firstRow="1" w:lastRow="1" w:firstColumn="1" w:lastColumn="1" w:noHBand="0" w:noVBand="0"/>
      </w:tblPr>
      <w:tblGrid>
        <w:gridCol w:w="2376"/>
        <w:gridCol w:w="3402"/>
      </w:tblGrid>
      <w:tr w:rsidR="00AC66EC" w:rsidRPr="00712209" w14:paraId="5F9CEF37" w14:textId="77777777" w:rsidTr="00F5139A">
        <w:tc>
          <w:tcPr>
            <w:tcW w:w="2376" w:type="dxa"/>
            <w:vAlign w:val="center"/>
          </w:tcPr>
          <w:p w14:paraId="4F25DBE1" w14:textId="3FB50A18" w:rsidR="00781EB9" w:rsidRPr="00EA50CE" w:rsidRDefault="00CE6F73" w:rsidP="00F5139A">
            <w:pPr>
              <w:spacing w:before="60" w:after="60"/>
              <w:rPr>
                <w:b/>
                <w:iCs/>
                <w:lang w:val="en-GB"/>
              </w:rPr>
            </w:pPr>
            <w:r>
              <w:rPr>
                <w:b/>
                <w:lang w:val="en-GB"/>
              </w:rPr>
              <w:t>Consulting Services</w:t>
            </w:r>
            <w:r>
              <w:rPr>
                <w:b/>
                <w:lang w:val="en-GB"/>
              </w:rPr>
              <w:br/>
            </w:r>
            <w:r w:rsidR="00EA50CE">
              <w:rPr>
                <w:b/>
                <w:lang w:val="en-GB"/>
              </w:rPr>
              <w:t xml:space="preserve">in the </w:t>
            </w:r>
            <w:r>
              <w:rPr>
                <w:b/>
                <w:lang w:val="en-GB"/>
              </w:rPr>
              <w:t xml:space="preserve">Hydropower </w:t>
            </w:r>
            <w:r>
              <w:rPr>
                <w:b/>
                <w:iCs/>
                <w:lang w:val="en-GB"/>
              </w:rPr>
              <w:t>Sector</w:t>
            </w:r>
          </w:p>
        </w:tc>
        <w:tc>
          <w:tcPr>
            <w:tcW w:w="3402" w:type="dxa"/>
            <w:vAlign w:val="center"/>
          </w:tcPr>
          <w:p w14:paraId="7A71176F" w14:textId="42B278A6" w:rsidR="00AC66EC" w:rsidRDefault="00AC66EC" w:rsidP="00F5139A">
            <w:pPr>
              <w:spacing w:before="60" w:after="60"/>
              <w:rPr>
                <w:b/>
                <w:lang w:val="en-GB"/>
              </w:rPr>
            </w:pPr>
            <w:r>
              <w:rPr>
                <w:b/>
                <w:lang w:val="en-GB"/>
              </w:rPr>
              <w:t xml:space="preserve">Deadline: </w:t>
            </w:r>
            <w:r w:rsidR="00893B9C" w:rsidRPr="002F5912">
              <w:rPr>
                <w:b/>
                <w:lang w:val="en-GB"/>
              </w:rPr>
              <w:t>18</w:t>
            </w:r>
            <w:r w:rsidR="00DA4FA5" w:rsidRPr="002F5912">
              <w:rPr>
                <w:b/>
                <w:lang w:val="en-GB"/>
              </w:rPr>
              <w:t>/</w:t>
            </w:r>
            <w:r w:rsidR="004865B4" w:rsidRPr="002F5912">
              <w:rPr>
                <w:b/>
                <w:lang w:val="en-GB"/>
              </w:rPr>
              <w:t>0</w:t>
            </w:r>
            <w:r w:rsidR="00893B9C" w:rsidRPr="002F5912">
              <w:rPr>
                <w:b/>
                <w:lang w:val="en-GB"/>
              </w:rPr>
              <w:t>9</w:t>
            </w:r>
            <w:r w:rsidR="005E0163" w:rsidRPr="002F5912">
              <w:rPr>
                <w:b/>
                <w:lang w:val="en-GB"/>
              </w:rPr>
              <w:t>/20</w:t>
            </w:r>
            <w:r w:rsidR="0053006D" w:rsidRPr="002F5912">
              <w:rPr>
                <w:b/>
                <w:lang w:val="en-GB"/>
              </w:rPr>
              <w:t>20</w:t>
            </w:r>
          </w:p>
        </w:tc>
      </w:tr>
    </w:tbl>
    <w:p w14:paraId="521FBBC6" w14:textId="1809E3D1" w:rsidR="00F917D1" w:rsidRPr="00487286" w:rsidRDefault="00F917D1" w:rsidP="00F5139A">
      <w:pPr>
        <w:spacing w:before="120" w:after="120"/>
        <w:ind w:right="3402"/>
        <w:rPr>
          <w:b/>
          <w:i/>
          <w:lang w:val="en-US"/>
        </w:rPr>
      </w:pPr>
      <w:r w:rsidRPr="0016460F">
        <w:rPr>
          <w:b/>
          <w:lang w:val="en-US"/>
        </w:rPr>
        <w:t>Country:</w:t>
      </w:r>
      <w:r w:rsidRPr="00843410">
        <w:rPr>
          <w:lang w:val="en-US"/>
        </w:rPr>
        <w:t xml:space="preserve"> </w:t>
      </w:r>
      <w:r w:rsidR="00EA50CE">
        <w:rPr>
          <w:lang w:val="en-US"/>
        </w:rPr>
        <w:tab/>
      </w:r>
      <w:r w:rsidR="004865B4">
        <w:rPr>
          <w:lang w:val="en-US"/>
        </w:rPr>
        <w:t>Montenegro</w:t>
      </w:r>
    </w:p>
    <w:p w14:paraId="2673840E" w14:textId="47F01DDE" w:rsidR="00F917D1" w:rsidRPr="00EA50CE" w:rsidRDefault="00F917D1" w:rsidP="00F5139A">
      <w:pPr>
        <w:spacing w:before="120" w:after="120"/>
        <w:ind w:right="3402"/>
        <w:rPr>
          <w:lang w:val="en-US"/>
        </w:rPr>
      </w:pPr>
      <w:r>
        <w:rPr>
          <w:b/>
          <w:lang w:val="en-US"/>
        </w:rPr>
        <w:t xml:space="preserve">Sector: </w:t>
      </w:r>
      <w:r w:rsidR="00EA50CE">
        <w:rPr>
          <w:b/>
          <w:lang w:val="en-US"/>
        </w:rPr>
        <w:tab/>
      </w:r>
      <w:r w:rsidRPr="00EA50CE">
        <w:rPr>
          <w:lang w:val="en-US"/>
        </w:rPr>
        <w:t>Hydropower</w:t>
      </w:r>
    </w:p>
    <w:p w14:paraId="64D754CF" w14:textId="043A3C7B" w:rsidR="00F917D1" w:rsidRPr="001E21D8" w:rsidRDefault="00F917D1" w:rsidP="00F5139A">
      <w:pPr>
        <w:widowControl w:val="0"/>
        <w:autoSpaceDE w:val="0"/>
        <w:autoSpaceDN w:val="0"/>
        <w:adjustRightInd w:val="0"/>
        <w:spacing w:after="240" w:line="340" w:lineRule="atLeast"/>
        <w:rPr>
          <w:rFonts w:ascii="Times Roman" w:hAnsi="Times Roman" w:cs="Times Roman"/>
          <w:color w:val="000000"/>
          <w:sz w:val="24"/>
          <w:szCs w:val="24"/>
          <w:lang w:val="en-GB" w:eastAsia="zh-CN"/>
        </w:rPr>
      </w:pPr>
      <w:r w:rsidRPr="001E21D8">
        <w:rPr>
          <w:b/>
          <w:lang w:val="en-GB"/>
        </w:rPr>
        <w:t xml:space="preserve">Ref.-N°: </w:t>
      </w:r>
      <w:r w:rsidR="00EA50CE">
        <w:rPr>
          <w:b/>
          <w:lang w:val="en-GB"/>
        </w:rPr>
        <w:tab/>
      </w:r>
      <w:r w:rsidRPr="00EA50CE">
        <w:rPr>
          <w:lang w:val="en-GB"/>
        </w:rPr>
        <w:t xml:space="preserve">BMZ No. </w:t>
      </w:r>
      <w:r w:rsidR="0053006D" w:rsidRPr="0053006D">
        <w:rPr>
          <w:rFonts w:cs="Arial"/>
          <w:szCs w:val="22"/>
          <w:lang w:val="en-US"/>
        </w:rPr>
        <w:t>201</w:t>
      </w:r>
      <w:r w:rsidR="004865B4">
        <w:rPr>
          <w:rFonts w:cs="Arial"/>
          <w:szCs w:val="22"/>
          <w:lang w:val="en-US"/>
        </w:rPr>
        <w:t>9</w:t>
      </w:r>
      <w:r w:rsidR="0053006D" w:rsidRPr="0053006D">
        <w:rPr>
          <w:rFonts w:cs="Arial"/>
          <w:szCs w:val="22"/>
          <w:lang w:val="en-US"/>
        </w:rPr>
        <w:t xml:space="preserve"> </w:t>
      </w:r>
      <w:r w:rsidR="004865B4">
        <w:rPr>
          <w:rFonts w:cs="Arial"/>
          <w:szCs w:val="22"/>
          <w:lang w:val="en-US"/>
        </w:rPr>
        <w:t>68</w:t>
      </w:r>
      <w:r w:rsidR="0053006D" w:rsidRPr="0053006D">
        <w:rPr>
          <w:rFonts w:cs="Arial"/>
          <w:szCs w:val="22"/>
          <w:lang w:val="en-US"/>
        </w:rPr>
        <w:t xml:space="preserve"> </w:t>
      </w:r>
      <w:r w:rsidR="004865B4">
        <w:rPr>
          <w:rFonts w:cs="Arial"/>
          <w:szCs w:val="22"/>
          <w:lang w:val="en-US"/>
        </w:rPr>
        <w:t>437</w:t>
      </w:r>
      <w:r w:rsidR="00DA4FA5">
        <w:rPr>
          <w:rFonts w:cs="Arial"/>
          <w:szCs w:val="22"/>
          <w:lang w:val="en-US"/>
        </w:rPr>
        <w:t xml:space="preserve">, </w:t>
      </w:r>
      <w:r w:rsidR="00DA4FA5">
        <w:rPr>
          <w:rFonts w:cs="Arial"/>
          <w:szCs w:val="22"/>
          <w:lang w:val="en-US"/>
        </w:rPr>
        <w:tab/>
      </w:r>
      <w:r w:rsidR="00DA4FA5">
        <w:rPr>
          <w:rFonts w:cs="Arial"/>
          <w:szCs w:val="22"/>
          <w:lang w:val="en-US"/>
        </w:rPr>
        <w:br/>
        <w:t xml:space="preserve"> </w:t>
      </w:r>
      <w:r w:rsidR="00DA4FA5">
        <w:rPr>
          <w:rFonts w:cs="Arial"/>
          <w:szCs w:val="22"/>
          <w:lang w:val="en-US"/>
        </w:rPr>
        <w:tab/>
      </w:r>
      <w:r w:rsidR="00DA4FA5">
        <w:rPr>
          <w:rFonts w:cs="Arial"/>
          <w:szCs w:val="22"/>
          <w:lang w:val="en-US"/>
        </w:rPr>
        <w:tab/>
        <w:t xml:space="preserve">KfW Procurement No. </w:t>
      </w:r>
      <w:bookmarkStart w:id="1" w:name="_Hlk47004383"/>
      <w:r w:rsidR="009F3F1C">
        <w:rPr>
          <w:rFonts w:cs="Arial"/>
          <w:szCs w:val="22"/>
          <w:lang w:val="en-US"/>
        </w:rPr>
        <w:t>505914</w:t>
      </w:r>
      <w:bookmarkEnd w:id="1"/>
    </w:p>
    <w:p w14:paraId="33DD85CE" w14:textId="77777777" w:rsidR="00F917D1" w:rsidRPr="001E21D8" w:rsidRDefault="00F917D1" w:rsidP="00F5139A">
      <w:pPr>
        <w:spacing w:before="120" w:after="120"/>
        <w:ind w:right="3402"/>
        <w:rPr>
          <w:b/>
          <w:lang w:val="en-GB"/>
        </w:rPr>
      </w:pPr>
      <w:r w:rsidRPr="001E21D8">
        <w:rPr>
          <w:b/>
          <w:lang w:val="en-GB"/>
        </w:rPr>
        <w:t>Prequalification</w:t>
      </w:r>
    </w:p>
    <w:p w14:paraId="6E296A36" w14:textId="363A26D2" w:rsidR="00F917D1" w:rsidRPr="001E21D8" w:rsidRDefault="00F917D1" w:rsidP="00F5139A">
      <w:pPr>
        <w:spacing w:before="120" w:after="120"/>
        <w:ind w:right="3402"/>
        <w:rPr>
          <w:b/>
          <w:lang w:val="en-GB"/>
        </w:rPr>
      </w:pPr>
      <w:r w:rsidRPr="001E21D8">
        <w:rPr>
          <w:b/>
          <w:lang w:val="en-GB"/>
        </w:rPr>
        <w:t>Reference</w:t>
      </w:r>
      <w:r w:rsidR="00F5139A">
        <w:rPr>
          <w:b/>
          <w:lang w:val="en-GB"/>
        </w:rPr>
        <w:t>:</w:t>
      </w:r>
    </w:p>
    <w:p w14:paraId="45DC94E0" w14:textId="0BD37C0C" w:rsidR="00F917D1" w:rsidRPr="00163F2D" w:rsidRDefault="00F917D1" w:rsidP="00F5139A">
      <w:pPr>
        <w:ind w:left="540" w:right="3402"/>
        <w:rPr>
          <w:i/>
          <w:szCs w:val="22"/>
          <w:lang w:val="pt-BR"/>
        </w:rPr>
      </w:pPr>
      <w:r w:rsidRPr="001E21D8">
        <w:rPr>
          <w:lang w:val="en-GB"/>
        </w:rPr>
        <w:t xml:space="preserve">Internationally open tender for </w:t>
      </w:r>
      <w:r w:rsidR="004865B4">
        <w:rPr>
          <w:lang w:val="en-GB"/>
        </w:rPr>
        <w:t>consultancy services</w:t>
      </w:r>
      <w:r w:rsidR="005E4F36">
        <w:rPr>
          <w:lang w:val="en-GB"/>
        </w:rPr>
        <w:t xml:space="preserve"> </w:t>
      </w:r>
      <w:r w:rsidR="00103AC3">
        <w:rPr>
          <w:lang w:val="en-GB"/>
        </w:rPr>
        <w:t xml:space="preserve">for </w:t>
      </w:r>
      <w:r w:rsidR="004865B4" w:rsidRPr="004865B4">
        <w:rPr>
          <w:lang w:val="en-GB"/>
        </w:rPr>
        <w:t xml:space="preserve">reconstruction and modernization, i.e. upgrade of HPP </w:t>
      </w:r>
      <w:proofErr w:type="spellStart"/>
      <w:r w:rsidR="004865B4" w:rsidRPr="004865B4">
        <w:rPr>
          <w:lang w:val="en-GB"/>
        </w:rPr>
        <w:t>Perućica</w:t>
      </w:r>
      <w:proofErr w:type="spellEnd"/>
      <w:r w:rsidR="004865B4">
        <w:rPr>
          <w:lang w:val="en-GB"/>
        </w:rPr>
        <w:t>,</w:t>
      </w:r>
      <w:r w:rsidR="004865B4" w:rsidRPr="004865B4">
        <w:rPr>
          <w:lang w:val="en-GB"/>
        </w:rPr>
        <w:t xml:space="preserve"> </w:t>
      </w:r>
      <w:r w:rsidRPr="001E21D8">
        <w:rPr>
          <w:szCs w:val="22"/>
          <w:lang w:val="en-GB"/>
        </w:rPr>
        <w:t xml:space="preserve">in favour of </w:t>
      </w:r>
      <w:bookmarkStart w:id="2" w:name="_Hlk42238352"/>
      <w:proofErr w:type="spellStart"/>
      <w:r w:rsidR="004865B4" w:rsidRPr="004865B4">
        <w:rPr>
          <w:rFonts w:cs="Arial"/>
          <w:lang w:val="en-GB"/>
        </w:rPr>
        <w:t>Elektroprivreda</w:t>
      </w:r>
      <w:proofErr w:type="spellEnd"/>
      <w:r w:rsidR="004865B4" w:rsidRPr="004865B4">
        <w:rPr>
          <w:rFonts w:cs="Arial"/>
          <w:lang w:val="en-GB"/>
        </w:rPr>
        <w:t xml:space="preserve"> </w:t>
      </w:r>
      <w:proofErr w:type="spellStart"/>
      <w:r w:rsidR="004865B4" w:rsidRPr="004865B4">
        <w:rPr>
          <w:rFonts w:cs="Arial"/>
          <w:lang w:val="en-GB"/>
        </w:rPr>
        <w:t>Crne</w:t>
      </w:r>
      <w:proofErr w:type="spellEnd"/>
      <w:r w:rsidR="004865B4" w:rsidRPr="004865B4">
        <w:rPr>
          <w:rFonts w:cs="Arial"/>
          <w:lang w:val="en-GB"/>
        </w:rPr>
        <w:t xml:space="preserve"> Gore AD </w:t>
      </w:r>
      <w:proofErr w:type="spellStart"/>
      <w:r w:rsidR="004865B4" w:rsidRPr="004865B4">
        <w:rPr>
          <w:rFonts w:cs="Arial"/>
          <w:lang w:val="en-GB"/>
        </w:rPr>
        <w:t>Nikšić</w:t>
      </w:r>
      <w:proofErr w:type="spellEnd"/>
      <w:r w:rsidR="004865B4" w:rsidRPr="004865B4">
        <w:rPr>
          <w:rFonts w:cs="Arial"/>
          <w:lang w:val="en-GB"/>
        </w:rPr>
        <w:t xml:space="preserve"> (EPCG</w:t>
      </w:r>
      <w:r w:rsidR="00663018">
        <w:rPr>
          <w:rFonts w:cs="Arial"/>
          <w:lang w:val="en-GB"/>
        </w:rPr>
        <w:t>)</w:t>
      </w:r>
      <w:bookmarkEnd w:id="2"/>
      <w:r w:rsidR="00663018">
        <w:rPr>
          <w:rFonts w:cs="Arial"/>
          <w:lang w:val="en-GB"/>
        </w:rPr>
        <w:t>.</w:t>
      </w:r>
    </w:p>
    <w:p w14:paraId="76DB9EFD" w14:textId="510F82D3" w:rsidR="00F917D1" w:rsidRPr="00DF0D0B" w:rsidRDefault="00C47EBD" w:rsidP="00F5139A">
      <w:pPr>
        <w:spacing w:before="120" w:after="120"/>
        <w:ind w:right="3402"/>
        <w:rPr>
          <w:b/>
          <w:lang w:val="en-GB"/>
        </w:rPr>
      </w:pPr>
      <w:r w:rsidRPr="00DF0D0B">
        <w:rPr>
          <w:b/>
          <w:lang w:val="en-GB"/>
        </w:rPr>
        <w:t>Employer</w:t>
      </w:r>
      <w:r w:rsidR="00F917D1" w:rsidRPr="00DF0D0B">
        <w:rPr>
          <w:b/>
          <w:lang w:val="en-GB"/>
        </w:rPr>
        <w:t>:</w:t>
      </w:r>
    </w:p>
    <w:p w14:paraId="24A00698" w14:textId="5B1ACA2B" w:rsidR="001E21D8" w:rsidRPr="001E21D8" w:rsidRDefault="004865B4" w:rsidP="00F5139A">
      <w:pPr>
        <w:ind w:left="567" w:right="3402"/>
        <w:rPr>
          <w:lang w:val="en-GB"/>
        </w:rPr>
      </w:pPr>
      <w:bookmarkStart w:id="3" w:name="_Hlk42237143"/>
      <w:proofErr w:type="spellStart"/>
      <w:r w:rsidRPr="00DF0D0B">
        <w:rPr>
          <w:lang w:val="en-GB"/>
        </w:rPr>
        <w:t>Elektroprivreda</w:t>
      </w:r>
      <w:proofErr w:type="spellEnd"/>
      <w:r w:rsidRPr="00DF0D0B">
        <w:rPr>
          <w:lang w:val="en-GB"/>
        </w:rPr>
        <w:t xml:space="preserve"> </w:t>
      </w:r>
      <w:proofErr w:type="spellStart"/>
      <w:r w:rsidRPr="00DF0D0B">
        <w:rPr>
          <w:lang w:val="en-GB"/>
        </w:rPr>
        <w:t>Crne</w:t>
      </w:r>
      <w:proofErr w:type="spellEnd"/>
      <w:r w:rsidRPr="00DF0D0B">
        <w:rPr>
          <w:lang w:val="en-GB"/>
        </w:rPr>
        <w:t xml:space="preserve"> Gore AD </w:t>
      </w:r>
      <w:proofErr w:type="spellStart"/>
      <w:r w:rsidRPr="00DF0D0B">
        <w:rPr>
          <w:lang w:val="en-GB"/>
        </w:rPr>
        <w:t>Nikšić</w:t>
      </w:r>
      <w:proofErr w:type="spellEnd"/>
      <w:r w:rsidRPr="00DF0D0B">
        <w:rPr>
          <w:lang w:val="en-GB"/>
        </w:rPr>
        <w:t xml:space="preserve"> (EPCG</w:t>
      </w:r>
      <w:bookmarkEnd w:id="3"/>
      <w:r w:rsidR="0053006D" w:rsidRPr="00DF0D0B">
        <w:rPr>
          <w:lang w:val="en-GB"/>
        </w:rPr>
        <w:t xml:space="preserve">), </w:t>
      </w:r>
      <w:proofErr w:type="spellStart"/>
      <w:r w:rsidR="00C47EBD" w:rsidRPr="00DF0D0B">
        <w:rPr>
          <w:lang w:val="en-GB"/>
        </w:rPr>
        <w:t>Niksic</w:t>
      </w:r>
      <w:proofErr w:type="spellEnd"/>
      <w:r w:rsidR="0053006D" w:rsidRPr="00DF0D0B">
        <w:rPr>
          <w:lang w:val="en-GB"/>
        </w:rPr>
        <w:t xml:space="preserve">, </w:t>
      </w:r>
      <w:r w:rsidRPr="00DF0D0B">
        <w:rPr>
          <w:lang w:val="en-GB"/>
        </w:rPr>
        <w:t>Montenegro</w:t>
      </w:r>
    </w:p>
    <w:p w14:paraId="554FAAF1" w14:textId="6094D563" w:rsidR="00AC66EC" w:rsidRPr="00742529" w:rsidRDefault="00AC66EC" w:rsidP="00F5139A">
      <w:pPr>
        <w:spacing w:before="120" w:after="120"/>
        <w:ind w:right="3402"/>
        <w:rPr>
          <w:b/>
          <w:lang w:val="en-GB"/>
        </w:rPr>
      </w:pPr>
      <w:r w:rsidRPr="001E21D8">
        <w:rPr>
          <w:b/>
          <w:lang w:val="en-GB"/>
        </w:rPr>
        <w:t>Project measures</w:t>
      </w:r>
      <w:r w:rsidR="00F5139A">
        <w:rPr>
          <w:b/>
          <w:lang w:val="en-GB"/>
        </w:rPr>
        <w:t>:</w:t>
      </w:r>
    </w:p>
    <w:p w14:paraId="3DC2DB0F" w14:textId="4CBD0105" w:rsidR="0075469C" w:rsidRPr="0075469C" w:rsidRDefault="0075469C" w:rsidP="00F5139A">
      <w:pPr>
        <w:spacing w:before="120" w:after="120"/>
        <w:ind w:left="540" w:right="3402"/>
        <w:rPr>
          <w:lang w:val="en-GB"/>
        </w:rPr>
      </w:pPr>
      <w:r w:rsidRPr="0075469C">
        <w:rPr>
          <w:lang w:val="en-GB"/>
        </w:rPr>
        <w:t xml:space="preserve">The Project shall encompass measures of reconstruction and modernization, i.e. </w:t>
      </w:r>
      <w:r>
        <w:rPr>
          <w:lang w:val="en-GB"/>
        </w:rPr>
        <w:t>installation of an additional Pelton turbine (Unit U8) in</w:t>
      </w:r>
      <w:r w:rsidRPr="0075469C">
        <w:rPr>
          <w:lang w:val="en-GB"/>
        </w:rPr>
        <w:t xml:space="preserve"> HPP </w:t>
      </w:r>
      <w:proofErr w:type="spellStart"/>
      <w:r w:rsidRPr="0075469C">
        <w:rPr>
          <w:lang w:val="en-GB"/>
        </w:rPr>
        <w:t>Perućica</w:t>
      </w:r>
      <w:proofErr w:type="spellEnd"/>
      <w:r w:rsidRPr="0075469C">
        <w:rPr>
          <w:lang w:val="en-GB"/>
        </w:rPr>
        <w:t xml:space="preserve"> to the end of increasing the installed power of the plant to 365.5 MW. Power house and switchyard of HPP </w:t>
      </w:r>
      <w:proofErr w:type="spellStart"/>
      <w:r w:rsidRPr="0075469C">
        <w:rPr>
          <w:lang w:val="en-GB"/>
        </w:rPr>
        <w:t>Perućica</w:t>
      </w:r>
      <w:proofErr w:type="spellEnd"/>
      <w:r w:rsidRPr="0075469C">
        <w:rPr>
          <w:lang w:val="en-GB"/>
        </w:rPr>
        <w:t xml:space="preserve"> were built for the final phase of the HPP </w:t>
      </w:r>
      <w:proofErr w:type="spellStart"/>
      <w:r w:rsidRPr="0075469C">
        <w:rPr>
          <w:lang w:val="en-GB"/>
        </w:rPr>
        <w:t>Perućica‘s</w:t>
      </w:r>
      <w:proofErr w:type="spellEnd"/>
      <w:r w:rsidRPr="0075469C">
        <w:rPr>
          <w:lang w:val="en-GB"/>
        </w:rPr>
        <w:t xml:space="preserve"> construction which envisaged Unit U8. The eighth unit would have the rated capacity of 58.5 MW, hence the installed capacity of the plant would grow from 307 MW to 365.5 MW, while the discharge would increase from 68 m</w:t>
      </w:r>
      <w:r>
        <w:rPr>
          <w:lang w:val="en-GB"/>
        </w:rPr>
        <w:t>³</w:t>
      </w:r>
      <w:r w:rsidRPr="0075469C">
        <w:rPr>
          <w:lang w:val="en-GB"/>
        </w:rPr>
        <w:t>/</w:t>
      </w:r>
      <w:proofErr w:type="gramStart"/>
      <w:r w:rsidRPr="0075469C">
        <w:rPr>
          <w:lang w:val="en-GB"/>
        </w:rPr>
        <w:t>s  to</w:t>
      </w:r>
      <w:proofErr w:type="gramEnd"/>
      <w:r w:rsidRPr="0075469C">
        <w:rPr>
          <w:lang w:val="en-GB"/>
        </w:rPr>
        <w:t xml:space="preserve"> 81.75 m</w:t>
      </w:r>
      <w:r>
        <w:rPr>
          <w:lang w:val="en-GB"/>
        </w:rPr>
        <w:t>³</w:t>
      </w:r>
      <w:r w:rsidRPr="0075469C">
        <w:rPr>
          <w:lang w:val="en-GB"/>
        </w:rPr>
        <w:t>/s. Unit U8 will be connected to the 3</w:t>
      </w:r>
      <w:r w:rsidRPr="0075469C">
        <w:rPr>
          <w:vertAlign w:val="superscript"/>
          <w:lang w:val="en-GB"/>
        </w:rPr>
        <w:t>rd</w:t>
      </w:r>
      <w:r w:rsidRPr="0075469C">
        <w:rPr>
          <w:lang w:val="en-GB"/>
        </w:rPr>
        <w:t xml:space="preserve"> penstock of the plant designed for the installed discharge of 3 x 12.75 m</w:t>
      </w:r>
      <w:r>
        <w:rPr>
          <w:lang w:val="en-GB"/>
        </w:rPr>
        <w:t>³</w:t>
      </w:r>
      <w:r w:rsidRPr="0075469C">
        <w:rPr>
          <w:lang w:val="en-GB"/>
        </w:rPr>
        <w:t xml:space="preserve">/s </w:t>
      </w:r>
      <w:r>
        <w:rPr>
          <w:lang w:val="en-GB"/>
        </w:rPr>
        <w:t>for</w:t>
      </w:r>
      <w:r w:rsidRPr="0075469C">
        <w:rPr>
          <w:lang w:val="en-GB"/>
        </w:rPr>
        <w:t xml:space="preserve"> three units U6, U7 and U8.</w:t>
      </w:r>
    </w:p>
    <w:p w14:paraId="34CF32C1" w14:textId="2DCAB494" w:rsidR="0075469C" w:rsidRDefault="0075469C" w:rsidP="00F5139A">
      <w:pPr>
        <w:spacing w:before="120" w:after="120"/>
        <w:ind w:left="540" w:right="3402"/>
        <w:rPr>
          <w:lang w:val="en-GB"/>
        </w:rPr>
      </w:pPr>
      <w:r w:rsidRPr="0075469C">
        <w:rPr>
          <w:lang w:val="en-GB"/>
        </w:rPr>
        <w:t xml:space="preserve">As part of the analyses and studies prepared until nowadays, it turned out that improvement of operating conditions of the plant with the eighth </w:t>
      </w:r>
      <w:proofErr w:type="gramStart"/>
      <w:r w:rsidRPr="0075469C">
        <w:rPr>
          <w:lang w:val="en-GB"/>
        </w:rPr>
        <w:t>unit</w:t>
      </w:r>
      <w:r w:rsidR="00D7478C">
        <w:rPr>
          <w:lang w:val="en-GB"/>
        </w:rPr>
        <w:t xml:space="preserve"> </w:t>
      </w:r>
      <w:r w:rsidRPr="0075469C">
        <w:rPr>
          <w:lang w:val="en-GB"/>
        </w:rPr>
        <w:t xml:space="preserve"> requires</w:t>
      </w:r>
      <w:proofErr w:type="gramEnd"/>
      <w:r w:rsidRPr="0075469C">
        <w:rPr>
          <w:lang w:val="en-GB"/>
        </w:rPr>
        <w:t xml:space="preserve"> </w:t>
      </w:r>
      <w:r w:rsidR="00D7478C">
        <w:rPr>
          <w:lang w:val="en-GB"/>
        </w:rPr>
        <w:t xml:space="preserve">a </w:t>
      </w:r>
      <w:r w:rsidRPr="0075469C">
        <w:rPr>
          <w:lang w:val="en-GB"/>
        </w:rPr>
        <w:t xml:space="preserve">reconstruction of the existing tailrace tunnel for the Unit U8, reconstruction of the Zeta I Channel – compensation basin – intake structure </w:t>
      </w:r>
      <w:r w:rsidRPr="00DF0D0B">
        <w:rPr>
          <w:lang w:val="en-GB"/>
        </w:rPr>
        <w:t xml:space="preserve">hub as well as </w:t>
      </w:r>
      <w:r w:rsidR="00C47EBD" w:rsidRPr="00DF0D0B">
        <w:rPr>
          <w:lang w:val="en-US"/>
        </w:rPr>
        <w:t>small rehabilitation</w:t>
      </w:r>
      <w:r w:rsidRPr="00DF0D0B">
        <w:rPr>
          <w:lang w:val="en-GB"/>
        </w:rPr>
        <w:t xml:space="preserve"> of the surge tank.</w:t>
      </w:r>
    </w:p>
    <w:p w14:paraId="4FE1888C" w14:textId="4625C500" w:rsidR="006D5BFB" w:rsidRPr="0075469C" w:rsidRDefault="0075469C" w:rsidP="00F5139A">
      <w:pPr>
        <w:spacing w:before="120" w:after="120"/>
        <w:ind w:left="540" w:right="3402"/>
        <w:rPr>
          <w:lang w:val="en-US"/>
        </w:rPr>
      </w:pPr>
      <w:r w:rsidRPr="0075469C">
        <w:rPr>
          <w:lang w:val="en-GB"/>
        </w:rPr>
        <w:t xml:space="preserve">The aim of the Project is to carry out necessary rehabilitation measures and the installation of </w:t>
      </w:r>
      <w:r>
        <w:rPr>
          <w:lang w:val="en-GB"/>
        </w:rPr>
        <w:t>the</w:t>
      </w:r>
      <w:r w:rsidRPr="0075469C">
        <w:rPr>
          <w:lang w:val="en-GB"/>
        </w:rPr>
        <w:t xml:space="preserve"> new unit in HPP </w:t>
      </w:r>
      <w:proofErr w:type="spellStart"/>
      <w:r w:rsidRPr="0075469C">
        <w:rPr>
          <w:lang w:val="en-GB"/>
        </w:rPr>
        <w:t>Perućica</w:t>
      </w:r>
      <w:proofErr w:type="spellEnd"/>
      <w:r w:rsidRPr="0075469C">
        <w:rPr>
          <w:lang w:val="en-GB"/>
        </w:rPr>
        <w:t xml:space="preserve"> in order to assure the sustainable provision of hydropower as a contribution to a liable, climate friendly and cost-</w:t>
      </w:r>
      <w:r w:rsidRPr="0075469C">
        <w:rPr>
          <w:lang w:val="en-GB"/>
        </w:rPr>
        <w:lastRenderedPageBreak/>
        <w:t>efficient electricity supply.</w:t>
      </w:r>
      <w:r>
        <w:rPr>
          <w:lang w:val="en-GB"/>
        </w:rPr>
        <w:t xml:space="preserve"> </w:t>
      </w:r>
      <w:r w:rsidRPr="0075469C">
        <w:rPr>
          <w:lang w:val="en-US"/>
        </w:rPr>
        <w:t>By doing so, the Project will contribute to the global goal of mitigating CO2 emissions and climate change.</w:t>
      </w:r>
    </w:p>
    <w:p w14:paraId="4E760114" w14:textId="48CB129A" w:rsidR="00B160DD" w:rsidRPr="00A6623C" w:rsidRDefault="00AC66EC" w:rsidP="00F5139A">
      <w:pPr>
        <w:spacing w:before="120" w:after="120"/>
        <w:ind w:right="3402"/>
        <w:rPr>
          <w:b/>
          <w:lang w:val="en-GB"/>
        </w:rPr>
      </w:pPr>
      <w:r w:rsidRPr="001E21D8">
        <w:rPr>
          <w:b/>
          <w:lang w:val="en-GB"/>
        </w:rPr>
        <w:t>Requested consultancy services</w:t>
      </w:r>
      <w:r w:rsidR="00F5139A">
        <w:rPr>
          <w:b/>
          <w:lang w:val="en-GB"/>
        </w:rPr>
        <w:t>:</w:t>
      </w:r>
    </w:p>
    <w:p w14:paraId="140A9662" w14:textId="2F1C1DC5" w:rsidR="0053006D" w:rsidRPr="0053006D" w:rsidRDefault="0053006D" w:rsidP="00F5139A">
      <w:pPr>
        <w:spacing w:before="120" w:after="120"/>
        <w:ind w:left="540" w:right="3402"/>
        <w:rPr>
          <w:lang w:val="en-GB"/>
        </w:rPr>
      </w:pPr>
      <w:r w:rsidRPr="0053006D">
        <w:rPr>
          <w:lang w:val="en-GB"/>
        </w:rPr>
        <w:t xml:space="preserve">The objectives of the Project are given above. To this end, the following services are required from the </w:t>
      </w:r>
      <w:r w:rsidR="0075469C">
        <w:rPr>
          <w:lang w:val="en-GB"/>
        </w:rPr>
        <w:t>Consultant</w:t>
      </w:r>
      <w:r w:rsidRPr="0053006D">
        <w:rPr>
          <w:lang w:val="en-GB"/>
        </w:rPr>
        <w:t>:</w:t>
      </w:r>
    </w:p>
    <w:p w14:paraId="775A6D46" w14:textId="04D2D560" w:rsidR="0075469C" w:rsidRPr="0075469C" w:rsidRDefault="0075469C" w:rsidP="00F5139A">
      <w:pPr>
        <w:pStyle w:val="ListParagraph"/>
        <w:numPr>
          <w:ilvl w:val="0"/>
          <w:numId w:val="5"/>
        </w:numPr>
        <w:spacing w:before="120" w:after="120"/>
        <w:ind w:right="3402"/>
        <w:jc w:val="left"/>
      </w:pPr>
      <w:r w:rsidRPr="0075469C">
        <w:t xml:space="preserve">Preparation of construction designs and tender documents, assistance and support to EPCG during tendering procedures for selection of the contractor, assistance with bid assessment and evaluation as well as with contracting of works for the execution of civil works, i.e. for reconstruction of certain civil structures of the HPP </w:t>
      </w:r>
      <w:proofErr w:type="spellStart"/>
      <w:r w:rsidRPr="0075469C">
        <w:t>Perućica</w:t>
      </w:r>
      <w:proofErr w:type="spellEnd"/>
      <w:r w:rsidRPr="0075469C">
        <w:t xml:space="preserve"> system,</w:t>
      </w:r>
    </w:p>
    <w:p w14:paraId="631F1DF9" w14:textId="5F447278" w:rsidR="0075469C" w:rsidRPr="0075469C" w:rsidRDefault="0075469C" w:rsidP="00F5139A">
      <w:pPr>
        <w:pStyle w:val="ListParagraph"/>
        <w:numPr>
          <w:ilvl w:val="0"/>
          <w:numId w:val="5"/>
        </w:numPr>
        <w:spacing w:before="120" w:after="120"/>
        <w:ind w:right="3402"/>
        <w:jc w:val="left"/>
      </w:pPr>
      <w:r w:rsidRPr="0075469C">
        <w:t>Preparation of tender documents, assistance and support to EPCG during tendering procedures for selection of the supplier, assistance with bid assessment and evaluation as well as with contracting of works for electrical and mechanical equipment and the corresponding civil works tied to the installation of Unit U8.</w:t>
      </w:r>
    </w:p>
    <w:p w14:paraId="59315F09" w14:textId="77777777" w:rsidR="0075469C" w:rsidRPr="0075469C" w:rsidRDefault="0075469C" w:rsidP="00F5139A">
      <w:pPr>
        <w:spacing w:before="120" w:after="120"/>
        <w:ind w:left="540" w:right="3402"/>
        <w:rPr>
          <w:lang w:val="en-GB"/>
        </w:rPr>
      </w:pPr>
      <w:r w:rsidRPr="0075469C">
        <w:rPr>
          <w:lang w:val="en-GB"/>
        </w:rPr>
        <w:t>The services shall also include expert assistance to EPCG for fulfilling their reporting duties (e.g. on project progress, etc.) to KfW.</w:t>
      </w:r>
    </w:p>
    <w:p w14:paraId="7C8EDC50" w14:textId="0FFB49B7" w:rsidR="00277FC2" w:rsidRPr="00277FC2" w:rsidRDefault="0053006D" w:rsidP="00F5139A">
      <w:pPr>
        <w:spacing w:before="120" w:after="120"/>
        <w:ind w:left="540" w:right="3402"/>
        <w:rPr>
          <w:lang w:val="en-GB"/>
        </w:rPr>
      </w:pPr>
      <w:r w:rsidRPr="0053006D">
        <w:rPr>
          <w:lang w:val="en-GB"/>
        </w:rPr>
        <w:t xml:space="preserve">The consultancy services shall be carried out in close consultation with </w:t>
      </w:r>
      <w:r w:rsidR="0075469C">
        <w:rPr>
          <w:lang w:val="en-GB"/>
        </w:rPr>
        <w:t>E</w:t>
      </w:r>
      <w:r w:rsidRPr="0053006D">
        <w:rPr>
          <w:lang w:val="en-GB"/>
        </w:rPr>
        <w:t>PGC and KfW in all aspects of the assignment.</w:t>
      </w:r>
    </w:p>
    <w:p w14:paraId="1EBDFD72" w14:textId="7322BBC2" w:rsidR="00AC66EC" w:rsidRPr="00E33251" w:rsidRDefault="0046032C" w:rsidP="00F5139A">
      <w:pPr>
        <w:spacing w:before="120" w:after="120"/>
        <w:ind w:left="540" w:right="3402"/>
        <w:rPr>
          <w:lang w:val="en-GB"/>
        </w:rPr>
      </w:pPr>
      <w:r w:rsidRPr="00B15585">
        <w:rPr>
          <w:lang w:val="en-GB"/>
        </w:rPr>
        <w:t xml:space="preserve">The consultancy services shall be financed from a </w:t>
      </w:r>
      <w:r w:rsidR="006D5BFB">
        <w:rPr>
          <w:lang w:val="en-GB"/>
        </w:rPr>
        <w:t>loan</w:t>
      </w:r>
      <w:r w:rsidRPr="00B15585">
        <w:rPr>
          <w:lang w:val="en-GB"/>
        </w:rPr>
        <w:t xml:space="preserve"> provided by the German Federal Ministry for Economic Cooperation and Development.</w:t>
      </w:r>
    </w:p>
    <w:p w14:paraId="47609B9A" w14:textId="2750800B" w:rsidR="000964CB" w:rsidRDefault="00AC66EC" w:rsidP="00F5139A">
      <w:pPr>
        <w:spacing w:before="120" w:after="120"/>
        <w:ind w:left="540" w:right="3402"/>
        <w:rPr>
          <w:rFonts w:cs="Arial"/>
          <w:szCs w:val="22"/>
          <w:lang w:val="en-GB"/>
        </w:rPr>
      </w:pPr>
      <w:r>
        <w:rPr>
          <w:rFonts w:cs="Arial"/>
          <w:lang w:val="en-GB"/>
        </w:rPr>
        <w:t xml:space="preserve">The selection of the Consultant </w:t>
      </w:r>
      <w:r>
        <w:rPr>
          <w:rFonts w:cs="Arial"/>
          <w:szCs w:val="22"/>
          <w:lang w:val="en-GB"/>
        </w:rPr>
        <w:t>will be guided by the latest version of the “</w:t>
      </w:r>
      <w:r w:rsidR="0053006D" w:rsidRPr="003564C5">
        <w:rPr>
          <w:rFonts w:cs="Arial"/>
          <w:i/>
          <w:iCs/>
          <w:szCs w:val="22"/>
          <w:lang w:val="en-GB"/>
        </w:rPr>
        <w:t>Guidelines for the Procurement of Consulting Services, Works, Plant, Goods and Non-Consulting Services in Financial Cooperation with Partner</w:t>
      </w:r>
      <w:r w:rsidR="003564C5">
        <w:rPr>
          <w:rFonts w:cs="Arial"/>
          <w:i/>
          <w:iCs/>
          <w:szCs w:val="22"/>
          <w:lang w:val="en-GB"/>
        </w:rPr>
        <w:t xml:space="preserve"> </w:t>
      </w:r>
      <w:r w:rsidR="003564C5" w:rsidRPr="003564C5">
        <w:rPr>
          <w:rFonts w:cs="Arial"/>
          <w:i/>
          <w:iCs/>
          <w:szCs w:val="22"/>
          <w:lang w:val="en-GB"/>
        </w:rPr>
        <w:t>Countries</w:t>
      </w:r>
      <w:proofErr w:type="gramStart"/>
      <w:r w:rsidR="003564C5">
        <w:rPr>
          <w:rFonts w:cs="Arial"/>
          <w:szCs w:val="22"/>
          <w:lang w:val="en-GB"/>
        </w:rPr>
        <w:t>“ (</w:t>
      </w:r>
      <w:proofErr w:type="gramEnd"/>
      <w:r>
        <w:rPr>
          <w:rFonts w:cs="Arial"/>
          <w:szCs w:val="22"/>
          <w:lang w:val="en-GB"/>
        </w:rPr>
        <w:t>refer to homepage of KfW</w:t>
      </w:r>
      <w:r w:rsidR="00961B38">
        <w:rPr>
          <w:rFonts w:cs="Arial"/>
          <w:szCs w:val="22"/>
          <w:lang w:val="en-GB"/>
        </w:rPr>
        <w:t>)</w:t>
      </w:r>
      <w:r w:rsidR="00DD1F5B">
        <w:rPr>
          <w:rFonts w:cs="Arial"/>
          <w:szCs w:val="22"/>
          <w:lang w:val="en-GB"/>
        </w:rPr>
        <w:t>.</w:t>
      </w:r>
    </w:p>
    <w:p w14:paraId="60845258" w14:textId="3AA24109" w:rsidR="00214057" w:rsidRDefault="000964CB" w:rsidP="00F5139A">
      <w:pPr>
        <w:spacing w:before="120" w:after="120"/>
        <w:ind w:left="540" w:right="3402"/>
        <w:rPr>
          <w:lang w:val="en-GB"/>
        </w:rPr>
      </w:pPr>
      <w:r>
        <w:rPr>
          <w:rFonts w:cs="Arial"/>
          <w:szCs w:val="22"/>
          <w:lang w:val="en-GB"/>
        </w:rPr>
        <w:t>I</w:t>
      </w:r>
      <w:r w:rsidR="00D631A6" w:rsidRPr="00D631A6">
        <w:rPr>
          <w:lang w:val="en-GB"/>
        </w:rPr>
        <w:t xml:space="preserve">t is foreseen to assign the services to an international consulting firm/joint venture experienced in the </w:t>
      </w:r>
      <w:r>
        <w:rPr>
          <w:lang w:val="en-GB"/>
        </w:rPr>
        <w:t>hydro</w:t>
      </w:r>
      <w:r w:rsidR="00D631A6" w:rsidRPr="00D631A6">
        <w:rPr>
          <w:lang w:val="en-GB"/>
        </w:rPr>
        <w:t xml:space="preserve">power sector and the region with a minimum annual revenue of </w:t>
      </w:r>
      <w:r w:rsidR="0053006D">
        <w:rPr>
          <w:lang w:val="en-GB"/>
        </w:rPr>
        <w:t>2</w:t>
      </w:r>
      <w:r w:rsidR="00D631A6" w:rsidRPr="00D631A6">
        <w:rPr>
          <w:lang w:val="en-GB"/>
        </w:rPr>
        <w:t xml:space="preserve"> million € (firm or joint ven</w:t>
      </w:r>
      <w:r w:rsidR="00D631A6">
        <w:rPr>
          <w:lang w:val="en-GB"/>
        </w:rPr>
        <w:t>ture). The Consultant is encour</w:t>
      </w:r>
      <w:r w:rsidR="00D631A6" w:rsidRPr="00D631A6">
        <w:rPr>
          <w:lang w:val="en-GB"/>
        </w:rPr>
        <w:t>aged to collaborate with domestic consulting firms and/or individual consultants as well as specialised consultants/experts if deemed necessary to reinforce the needed local, inst</w:t>
      </w:r>
      <w:r w:rsidR="00D631A6">
        <w:rPr>
          <w:lang w:val="en-GB"/>
        </w:rPr>
        <w:t>itutional, educational and tech</w:t>
      </w:r>
      <w:r w:rsidR="00D631A6" w:rsidRPr="00D631A6">
        <w:rPr>
          <w:lang w:val="en-GB"/>
        </w:rPr>
        <w:t>nical competence.</w:t>
      </w:r>
    </w:p>
    <w:p w14:paraId="6E4206AE" w14:textId="407701B2" w:rsidR="00214057" w:rsidRPr="001A1B3A" w:rsidRDefault="001A1B3A" w:rsidP="00F5139A">
      <w:pPr>
        <w:pStyle w:val="BodyText3"/>
        <w:spacing w:beforeLines="50" w:before="120" w:after="0"/>
        <w:rPr>
          <w:b/>
          <w:sz w:val="22"/>
          <w:lang w:val="en-US"/>
        </w:rPr>
      </w:pPr>
      <w:r>
        <w:rPr>
          <w:b/>
          <w:sz w:val="22"/>
          <w:lang w:val="en-US"/>
        </w:rPr>
        <w:t>EOI</w:t>
      </w:r>
      <w:r w:rsidR="00214057" w:rsidRPr="001A1B3A">
        <w:rPr>
          <w:b/>
          <w:sz w:val="22"/>
          <w:lang w:val="en-US"/>
        </w:rPr>
        <w:t xml:space="preserve"> Documents:</w:t>
      </w:r>
    </w:p>
    <w:p w14:paraId="4DC8D27F" w14:textId="385729EE" w:rsidR="00D631A6" w:rsidRDefault="00D631A6" w:rsidP="00F5139A">
      <w:pPr>
        <w:spacing w:before="120" w:after="120"/>
        <w:ind w:left="540" w:right="3402"/>
        <w:rPr>
          <w:lang w:val="en-GB"/>
        </w:rPr>
      </w:pPr>
      <w:r w:rsidRPr="00D631A6">
        <w:rPr>
          <w:lang w:val="en-GB"/>
        </w:rPr>
        <w:t xml:space="preserve">Detailed </w:t>
      </w:r>
      <w:r w:rsidR="000964CB">
        <w:rPr>
          <w:lang w:val="en-GB"/>
        </w:rPr>
        <w:t>Invitations for Expression of Interest</w:t>
      </w:r>
      <w:r w:rsidRPr="00D631A6">
        <w:rPr>
          <w:lang w:val="en-GB"/>
        </w:rPr>
        <w:t xml:space="preserve"> of Consultants are available from </w:t>
      </w:r>
      <w:r w:rsidR="00893B9C" w:rsidRPr="002F5912">
        <w:rPr>
          <w:rFonts w:cs="Arial"/>
          <w:lang w:val="en-GB"/>
        </w:rPr>
        <w:t>07</w:t>
      </w:r>
      <w:r w:rsidR="00DA4FA5" w:rsidRPr="002F5912">
        <w:rPr>
          <w:rFonts w:cs="Arial"/>
          <w:lang w:val="en-GB"/>
        </w:rPr>
        <w:t>/0</w:t>
      </w:r>
      <w:r w:rsidR="00893B9C" w:rsidRPr="002F5912">
        <w:rPr>
          <w:rFonts w:cs="Arial"/>
          <w:lang w:val="en-GB"/>
        </w:rPr>
        <w:t>8</w:t>
      </w:r>
      <w:r w:rsidRPr="002F5912">
        <w:rPr>
          <w:rFonts w:cs="Arial"/>
          <w:lang w:val="en-GB"/>
        </w:rPr>
        <w:t>/20</w:t>
      </w:r>
      <w:r w:rsidR="0053006D" w:rsidRPr="002F5912">
        <w:rPr>
          <w:rFonts w:cs="Arial"/>
          <w:lang w:val="en-GB"/>
        </w:rPr>
        <w:t>20</w:t>
      </w:r>
      <w:r w:rsidRPr="00DA4FA5">
        <w:rPr>
          <w:rFonts w:cs="Arial"/>
          <w:lang w:val="en-GB"/>
        </w:rPr>
        <w:t xml:space="preserve"> </w:t>
      </w:r>
      <w:r w:rsidRPr="00D631A6">
        <w:rPr>
          <w:lang w:val="en-GB"/>
        </w:rPr>
        <w:t xml:space="preserve">and </w:t>
      </w:r>
      <w:r w:rsidRPr="00D631A6">
        <w:rPr>
          <w:lang w:val="en-GB"/>
        </w:rPr>
        <w:lastRenderedPageBreak/>
        <w:t xml:space="preserve">onwards through the </w:t>
      </w:r>
      <w:r w:rsidR="003564C5">
        <w:rPr>
          <w:lang w:val="en-GB"/>
        </w:rPr>
        <w:t xml:space="preserve">Chairman of the Evaluation Commission, Mr. </w:t>
      </w:r>
      <w:proofErr w:type="spellStart"/>
      <w:r w:rsidR="000964CB" w:rsidRPr="000964CB">
        <w:rPr>
          <w:lang w:val="en-GB"/>
        </w:rPr>
        <w:t>Boško</w:t>
      </w:r>
      <w:proofErr w:type="spellEnd"/>
      <w:r w:rsidR="000964CB" w:rsidRPr="000964CB">
        <w:rPr>
          <w:lang w:val="en-GB"/>
        </w:rPr>
        <w:t xml:space="preserve"> </w:t>
      </w:r>
      <w:proofErr w:type="spellStart"/>
      <w:r w:rsidR="000964CB" w:rsidRPr="000964CB">
        <w:rPr>
          <w:lang w:val="en-GB"/>
        </w:rPr>
        <w:t>Božović</w:t>
      </w:r>
      <w:proofErr w:type="spellEnd"/>
      <w:r w:rsidR="003564C5">
        <w:rPr>
          <w:lang w:val="en-GB"/>
        </w:rPr>
        <w:t xml:space="preserve">, </w:t>
      </w:r>
      <w:r w:rsidR="002F5912">
        <w:rPr>
          <w:lang w:val="en-GB"/>
        </w:rPr>
        <w:br/>
      </w:r>
      <w:r w:rsidR="003564C5">
        <w:rPr>
          <w:lang w:val="en-GB"/>
        </w:rPr>
        <w:t>e-mail:</w:t>
      </w:r>
      <w:r w:rsidR="00893B9C">
        <w:rPr>
          <w:lang w:val="en-GB"/>
        </w:rPr>
        <w:t xml:space="preserve"> </w:t>
      </w:r>
      <w:hyperlink r:id="rId6" w:history="1">
        <w:r w:rsidR="00893B9C" w:rsidRPr="00E475D7">
          <w:rPr>
            <w:rStyle w:val="Hyperlink"/>
            <w:lang w:val="en-GB"/>
          </w:rPr>
          <w:t>bosko.bozovic@epcg.com</w:t>
        </w:r>
      </w:hyperlink>
      <w:r w:rsidR="00893B9C">
        <w:rPr>
          <w:lang w:val="en-GB"/>
        </w:rPr>
        <w:t xml:space="preserve"> </w:t>
      </w:r>
      <w:r w:rsidR="003564C5" w:rsidRPr="00D631A6">
        <w:rPr>
          <w:lang w:val="en-GB"/>
        </w:rPr>
        <w:t xml:space="preserve">with copy to </w:t>
      </w:r>
      <w:r w:rsidR="003564C5">
        <w:rPr>
          <w:lang w:val="en-GB"/>
        </w:rPr>
        <w:t xml:space="preserve">the </w:t>
      </w:r>
      <w:r w:rsidR="002F5912">
        <w:rPr>
          <w:lang w:val="en-GB"/>
        </w:rPr>
        <w:br/>
      </w:r>
      <w:r w:rsidR="003564C5" w:rsidRPr="00D631A6">
        <w:rPr>
          <w:lang w:val="en-GB"/>
        </w:rPr>
        <w:t xml:space="preserve">Tender </w:t>
      </w:r>
      <w:r w:rsidRPr="00D631A6">
        <w:rPr>
          <w:lang w:val="en-GB"/>
        </w:rPr>
        <w:t xml:space="preserve">Agent, Volker Spork, </w:t>
      </w:r>
      <w:r w:rsidR="002F5912">
        <w:rPr>
          <w:lang w:val="en-GB"/>
        </w:rPr>
        <w:br/>
      </w:r>
      <w:r w:rsidRPr="00D631A6">
        <w:rPr>
          <w:lang w:val="en-GB"/>
        </w:rPr>
        <w:t>e-mail:</w:t>
      </w:r>
      <w:r w:rsidR="006D34B2">
        <w:rPr>
          <w:lang w:val="en-GB"/>
        </w:rPr>
        <w:t xml:space="preserve"> </w:t>
      </w:r>
      <w:r w:rsidR="006D34B2" w:rsidRPr="0063515A">
        <w:rPr>
          <w:rStyle w:val="Hyperlink"/>
          <w:lang w:val="en-US"/>
        </w:rPr>
        <w:t>volker.spork@t-online.de</w:t>
      </w:r>
      <w:r w:rsidR="006D34B2">
        <w:rPr>
          <w:lang w:val="en-GB"/>
        </w:rPr>
        <w:t>.</w:t>
      </w:r>
      <w:r w:rsidRPr="00D631A6">
        <w:rPr>
          <w:lang w:val="en-GB"/>
        </w:rPr>
        <w:t xml:space="preserve"> </w:t>
      </w:r>
      <w:r w:rsidR="002F5912">
        <w:rPr>
          <w:lang w:val="en-GB"/>
        </w:rPr>
        <w:br/>
      </w:r>
      <w:r w:rsidRPr="00D631A6">
        <w:rPr>
          <w:lang w:val="en-GB"/>
        </w:rPr>
        <w:t xml:space="preserve">Consultants willing to participate in the prequalification procedure shall announce their interest with </w:t>
      </w:r>
      <w:r w:rsidR="00D63D9B">
        <w:rPr>
          <w:lang w:val="en-GB"/>
        </w:rPr>
        <w:t xml:space="preserve">all </w:t>
      </w:r>
      <w:r w:rsidRPr="00D631A6">
        <w:rPr>
          <w:lang w:val="en-GB"/>
        </w:rPr>
        <w:t>the</w:t>
      </w:r>
      <w:r w:rsidR="00D63D9B">
        <w:rPr>
          <w:lang w:val="en-GB"/>
        </w:rPr>
        <w:t xml:space="preserve"> </w:t>
      </w:r>
      <w:r w:rsidR="003564C5">
        <w:rPr>
          <w:lang w:val="en-GB"/>
        </w:rPr>
        <w:t>given addresses</w:t>
      </w:r>
      <w:r w:rsidRPr="00D631A6">
        <w:rPr>
          <w:lang w:val="en-GB"/>
        </w:rPr>
        <w:t>.</w:t>
      </w:r>
    </w:p>
    <w:sectPr w:rsidR="00D631A6" w:rsidSect="005E5554">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Roma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175"/>
    <w:multiLevelType w:val="hybridMultilevel"/>
    <w:tmpl w:val="C8C83ECC"/>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 w15:restartNumberingAfterBreak="0">
    <w:nsid w:val="3AE11B05"/>
    <w:multiLevelType w:val="hybridMultilevel"/>
    <w:tmpl w:val="6F1AC52A"/>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1105096"/>
    <w:multiLevelType w:val="hybridMultilevel"/>
    <w:tmpl w:val="7C66CAC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 w15:restartNumberingAfterBreak="0">
    <w:nsid w:val="6D297FEA"/>
    <w:multiLevelType w:val="hybridMultilevel"/>
    <w:tmpl w:val="05562E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307CC"/>
    <w:multiLevelType w:val="hybridMultilevel"/>
    <w:tmpl w:val="A7B07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6C"/>
    <w:rsid w:val="00004CA4"/>
    <w:rsid w:val="0002236C"/>
    <w:rsid w:val="00065355"/>
    <w:rsid w:val="000964CB"/>
    <w:rsid w:val="000A6740"/>
    <w:rsid w:val="000A7AEB"/>
    <w:rsid w:val="000B2116"/>
    <w:rsid w:val="000C52D6"/>
    <w:rsid w:val="000E0F3F"/>
    <w:rsid w:val="000F0520"/>
    <w:rsid w:val="00103AC3"/>
    <w:rsid w:val="001102B4"/>
    <w:rsid w:val="00114DCB"/>
    <w:rsid w:val="00117E9B"/>
    <w:rsid w:val="001370DB"/>
    <w:rsid w:val="00163F2D"/>
    <w:rsid w:val="0017407E"/>
    <w:rsid w:val="00174FEF"/>
    <w:rsid w:val="001A1B3A"/>
    <w:rsid w:val="001A2BC0"/>
    <w:rsid w:val="001E21D8"/>
    <w:rsid w:val="001E7F90"/>
    <w:rsid w:val="001F47C4"/>
    <w:rsid w:val="00214057"/>
    <w:rsid w:val="00236776"/>
    <w:rsid w:val="00237085"/>
    <w:rsid w:val="00241A54"/>
    <w:rsid w:val="002719ED"/>
    <w:rsid w:val="0027576C"/>
    <w:rsid w:val="00276BDA"/>
    <w:rsid w:val="00277FC2"/>
    <w:rsid w:val="00290C6A"/>
    <w:rsid w:val="002B5EB9"/>
    <w:rsid w:val="002C0A61"/>
    <w:rsid w:val="002E148B"/>
    <w:rsid w:val="002E3087"/>
    <w:rsid w:val="002F5912"/>
    <w:rsid w:val="00315200"/>
    <w:rsid w:val="00340704"/>
    <w:rsid w:val="003413F4"/>
    <w:rsid w:val="00341FB2"/>
    <w:rsid w:val="003564C5"/>
    <w:rsid w:val="00365416"/>
    <w:rsid w:val="003825A8"/>
    <w:rsid w:val="00387684"/>
    <w:rsid w:val="00395569"/>
    <w:rsid w:val="003A1DB3"/>
    <w:rsid w:val="003C010A"/>
    <w:rsid w:val="003E318F"/>
    <w:rsid w:val="003F61AE"/>
    <w:rsid w:val="0040718F"/>
    <w:rsid w:val="00420E63"/>
    <w:rsid w:val="004340BA"/>
    <w:rsid w:val="00434B34"/>
    <w:rsid w:val="0046032C"/>
    <w:rsid w:val="00464A64"/>
    <w:rsid w:val="00466B3F"/>
    <w:rsid w:val="004865B4"/>
    <w:rsid w:val="00492EA6"/>
    <w:rsid w:val="0050336A"/>
    <w:rsid w:val="005036D1"/>
    <w:rsid w:val="00521E58"/>
    <w:rsid w:val="0053006D"/>
    <w:rsid w:val="00543368"/>
    <w:rsid w:val="00586CF4"/>
    <w:rsid w:val="005E0163"/>
    <w:rsid w:val="005E1AE1"/>
    <w:rsid w:val="005E4F36"/>
    <w:rsid w:val="005E5554"/>
    <w:rsid w:val="006166D6"/>
    <w:rsid w:val="00633A2D"/>
    <w:rsid w:val="0063515A"/>
    <w:rsid w:val="00663018"/>
    <w:rsid w:val="006D34B2"/>
    <w:rsid w:val="006D5BFB"/>
    <w:rsid w:val="006D79D3"/>
    <w:rsid w:val="006F4DB6"/>
    <w:rsid w:val="00712209"/>
    <w:rsid w:val="00732E74"/>
    <w:rsid w:val="00742529"/>
    <w:rsid w:val="00743B14"/>
    <w:rsid w:val="0075469C"/>
    <w:rsid w:val="00781EB9"/>
    <w:rsid w:val="007D3CB8"/>
    <w:rsid w:val="00893B9C"/>
    <w:rsid w:val="00896D6C"/>
    <w:rsid w:val="008E1067"/>
    <w:rsid w:val="008E5FE9"/>
    <w:rsid w:val="00961B38"/>
    <w:rsid w:val="00986464"/>
    <w:rsid w:val="009B6996"/>
    <w:rsid w:val="009C41C4"/>
    <w:rsid w:val="009F332A"/>
    <w:rsid w:val="009F3F1C"/>
    <w:rsid w:val="00A20397"/>
    <w:rsid w:val="00A36E12"/>
    <w:rsid w:val="00A6623C"/>
    <w:rsid w:val="00AB6D7B"/>
    <w:rsid w:val="00AC66EC"/>
    <w:rsid w:val="00AC71ED"/>
    <w:rsid w:val="00AD7549"/>
    <w:rsid w:val="00AF36DC"/>
    <w:rsid w:val="00AF5EDD"/>
    <w:rsid w:val="00B02CD0"/>
    <w:rsid w:val="00B15585"/>
    <w:rsid w:val="00B160DD"/>
    <w:rsid w:val="00B20A4D"/>
    <w:rsid w:val="00B213B9"/>
    <w:rsid w:val="00B83E8F"/>
    <w:rsid w:val="00B86893"/>
    <w:rsid w:val="00B90161"/>
    <w:rsid w:val="00BA0862"/>
    <w:rsid w:val="00BC06FA"/>
    <w:rsid w:val="00BC2956"/>
    <w:rsid w:val="00BD3F6D"/>
    <w:rsid w:val="00C17A30"/>
    <w:rsid w:val="00C40506"/>
    <w:rsid w:val="00C444A3"/>
    <w:rsid w:val="00C47EBD"/>
    <w:rsid w:val="00C651E2"/>
    <w:rsid w:val="00C712F5"/>
    <w:rsid w:val="00CE30BD"/>
    <w:rsid w:val="00CE6F73"/>
    <w:rsid w:val="00D23651"/>
    <w:rsid w:val="00D463A1"/>
    <w:rsid w:val="00D47495"/>
    <w:rsid w:val="00D5149F"/>
    <w:rsid w:val="00D5736E"/>
    <w:rsid w:val="00D631A6"/>
    <w:rsid w:val="00D63D9B"/>
    <w:rsid w:val="00D66CC0"/>
    <w:rsid w:val="00D7478C"/>
    <w:rsid w:val="00DA4FA5"/>
    <w:rsid w:val="00DD1F5B"/>
    <w:rsid w:val="00DF0D0B"/>
    <w:rsid w:val="00DF722D"/>
    <w:rsid w:val="00E10205"/>
    <w:rsid w:val="00E33251"/>
    <w:rsid w:val="00E56523"/>
    <w:rsid w:val="00EA50CE"/>
    <w:rsid w:val="00EB21AC"/>
    <w:rsid w:val="00ED0921"/>
    <w:rsid w:val="00F043C1"/>
    <w:rsid w:val="00F3096A"/>
    <w:rsid w:val="00F363B0"/>
    <w:rsid w:val="00F5139A"/>
    <w:rsid w:val="00F661AF"/>
    <w:rsid w:val="00F81DEE"/>
    <w:rsid w:val="00F917D1"/>
    <w:rsid w:val="00FB4105"/>
    <w:rsid w:val="00FD352A"/>
    <w:rsid w:val="00FF3325"/>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54CFA"/>
  <w15:docId w15:val="{A3844263-CF95-4B9A-96D4-F9B98E1E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2D"/>
    <w:rPr>
      <w:rFonts w:ascii="Arial" w:hAnsi="Arial"/>
      <w:szCs w:val="20"/>
      <w:lang w:eastAsia="de-DE"/>
    </w:rPr>
  </w:style>
  <w:style w:type="paragraph" w:styleId="Heading1">
    <w:name w:val="heading 1"/>
    <w:basedOn w:val="Normal"/>
    <w:next w:val="Normal"/>
    <w:link w:val="Heading1Char"/>
    <w:uiPriority w:val="99"/>
    <w:qFormat/>
    <w:rsid w:val="00633A2D"/>
    <w:pPr>
      <w:keepNext/>
      <w:spacing w:before="120" w:after="120"/>
      <w:ind w:right="3402"/>
      <w:jc w:val="both"/>
      <w:outlineLvl w:val="0"/>
    </w:pPr>
    <w:rPr>
      <w:b/>
    </w:rPr>
  </w:style>
  <w:style w:type="paragraph" w:styleId="Heading4">
    <w:name w:val="heading 4"/>
    <w:basedOn w:val="Normal"/>
    <w:next w:val="Normal"/>
    <w:link w:val="Heading4Char"/>
    <w:uiPriority w:val="99"/>
    <w:qFormat/>
    <w:rsid w:val="00633A2D"/>
    <w:pPr>
      <w:keepNext/>
      <w:spacing w:after="240"/>
      <w:jc w:val="both"/>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eastAsia="de-DE"/>
    </w:rPr>
  </w:style>
  <w:style w:type="character" w:customStyle="1" w:styleId="Heading4Char">
    <w:name w:val="Heading 4 Char"/>
    <w:basedOn w:val="DefaultParagraphFont"/>
    <w:link w:val="Heading4"/>
    <w:uiPriority w:val="99"/>
    <w:semiHidden/>
    <w:locked/>
    <w:rPr>
      <w:rFonts w:ascii="Calibri" w:eastAsia="SimSun" w:hAnsi="Calibri" w:cs="Times New Roman"/>
      <w:b/>
      <w:bCs/>
      <w:sz w:val="28"/>
      <w:szCs w:val="28"/>
      <w:lang w:eastAsia="de-DE"/>
    </w:rPr>
  </w:style>
  <w:style w:type="paragraph" w:styleId="Caption">
    <w:name w:val="caption"/>
    <w:basedOn w:val="Normal"/>
    <w:next w:val="Normal"/>
    <w:uiPriority w:val="99"/>
    <w:qFormat/>
    <w:rsid w:val="00633A2D"/>
    <w:pPr>
      <w:spacing w:before="240" w:after="120"/>
      <w:ind w:right="3402"/>
      <w:jc w:val="both"/>
    </w:pPr>
    <w:rPr>
      <w:b/>
      <w:i/>
      <w:lang w:val="en-US"/>
    </w:rPr>
  </w:style>
  <w:style w:type="character" w:styleId="Hyperlink">
    <w:name w:val="Hyperlink"/>
    <w:basedOn w:val="DefaultParagraphFont"/>
    <w:uiPriority w:val="99"/>
    <w:rsid w:val="00633A2D"/>
    <w:rPr>
      <w:rFonts w:cs="Times New Roman"/>
      <w:color w:val="0000FF"/>
      <w:u w:val="single"/>
    </w:rPr>
  </w:style>
  <w:style w:type="paragraph" w:styleId="BodyText2">
    <w:name w:val="Body Text 2"/>
    <w:basedOn w:val="Normal"/>
    <w:link w:val="BodyText2Char"/>
    <w:uiPriority w:val="99"/>
    <w:rsid w:val="00633A2D"/>
    <w:pPr>
      <w:spacing w:after="240"/>
      <w:jc w:val="both"/>
    </w:pPr>
    <w:rPr>
      <w:lang w:val="en-GB"/>
    </w:rPr>
  </w:style>
  <w:style w:type="character" w:customStyle="1" w:styleId="BodyText2Char">
    <w:name w:val="Body Text 2 Char"/>
    <w:basedOn w:val="DefaultParagraphFont"/>
    <w:link w:val="BodyText2"/>
    <w:uiPriority w:val="99"/>
    <w:semiHidden/>
    <w:locked/>
    <w:rPr>
      <w:rFonts w:ascii="Arial" w:hAnsi="Arial" w:cs="Times New Roman"/>
      <w:sz w:val="20"/>
      <w:szCs w:val="20"/>
      <w:lang w:eastAsia="de-DE"/>
    </w:rPr>
  </w:style>
  <w:style w:type="character" w:styleId="FollowedHyperlink">
    <w:name w:val="FollowedHyperlink"/>
    <w:basedOn w:val="DefaultParagraphFont"/>
    <w:uiPriority w:val="99"/>
    <w:rsid w:val="00633A2D"/>
    <w:rPr>
      <w:rFonts w:cs="Times New Roman"/>
      <w:color w:val="800080"/>
      <w:u w:val="single"/>
    </w:rPr>
  </w:style>
  <w:style w:type="character" w:styleId="CommentReference">
    <w:name w:val="annotation reference"/>
    <w:basedOn w:val="DefaultParagraphFont"/>
    <w:uiPriority w:val="99"/>
    <w:semiHidden/>
    <w:rsid w:val="00633A2D"/>
    <w:rPr>
      <w:rFonts w:cs="Times New Roman"/>
      <w:sz w:val="16"/>
    </w:rPr>
  </w:style>
  <w:style w:type="paragraph" w:styleId="CommentText">
    <w:name w:val="annotation text"/>
    <w:basedOn w:val="Normal"/>
    <w:link w:val="CommentTextChar"/>
    <w:uiPriority w:val="99"/>
    <w:semiHidden/>
    <w:rsid w:val="00633A2D"/>
    <w:rPr>
      <w:sz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de-DE"/>
    </w:rPr>
  </w:style>
  <w:style w:type="character" w:customStyle="1" w:styleId="a">
    <w:name w:val="Текст примечания Знак"/>
    <w:uiPriority w:val="99"/>
    <w:semiHidden/>
    <w:rsid w:val="00633A2D"/>
    <w:rPr>
      <w:rFonts w:ascii="Arial" w:hAnsi="Arial"/>
      <w:lang w:val="de-DE" w:eastAsia="de-DE"/>
    </w:rPr>
  </w:style>
  <w:style w:type="paragraph" w:customStyle="1" w:styleId="a0">
    <w:name w:val="Тема примечания"/>
    <w:basedOn w:val="CommentText"/>
    <w:next w:val="CommentText"/>
    <w:uiPriority w:val="99"/>
    <w:semiHidden/>
    <w:rsid w:val="00633A2D"/>
    <w:rPr>
      <w:b/>
      <w:bCs/>
    </w:rPr>
  </w:style>
  <w:style w:type="character" w:customStyle="1" w:styleId="a1">
    <w:name w:val="Тема примечания Знак"/>
    <w:uiPriority w:val="99"/>
    <w:semiHidden/>
    <w:rsid w:val="00633A2D"/>
    <w:rPr>
      <w:rFonts w:ascii="Arial" w:hAnsi="Arial"/>
      <w:b/>
      <w:lang w:val="de-DE" w:eastAsia="de-DE"/>
    </w:rPr>
  </w:style>
  <w:style w:type="paragraph" w:customStyle="1" w:styleId="a2">
    <w:name w:val="Текст выноски"/>
    <w:basedOn w:val="Normal"/>
    <w:uiPriority w:val="99"/>
    <w:semiHidden/>
    <w:rsid w:val="00633A2D"/>
    <w:rPr>
      <w:rFonts w:ascii="Tahoma" w:hAnsi="Tahoma" w:cs="Tahoma"/>
      <w:sz w:val="16"/>
      <w:szCs w:val="16"/>
    </w:rPr>
  </w:style>
  <w:style w:type="character" w:customStyle="1" w:styleId="a3">
    <w:name w:val="Текст выноски Знак"/>
    <w:uiPriority w:val="99"/>
    <w:semiHidden/>
    <w:rsid w:val="00633A2D"/>
    <w:rPr>
      <w:rFonts w:ascii="Tahoma" w:hAnsi="Tahoma"/>
      <w:sz w:val="16"/>
      <w:lang w:val="de-DE" w:eastAsia="de-DE"/>
    </w:rPr>
  </w:style>
  <w:style w:type="paragraph" w:styleId="BodyText">
    <w:name w:val="Body Text"/>
    <w:basedOn w:val="Normal"/>
    <w:link w:val="BodyTextChar"/>
    <w:uiPriority w:val="99"/>
    <w:rsid w:val="00633A2D"/>
    <w:pPr>
      <w:suppressAutoHyphens/>
      <w:spacing w:before="60" w:after="240"/>
      <w:jc w:val="both"/>
    </w:pPr>
    <w:rPr>
      <w:lang w:val="en-US"/>
    </w:rPr>
  </w:style>
  <w:style w:type="character" w:customStyle="1" w:styleId="BodyTextChar">
    <w:name w:val="Body Text Char"/>
    <w:basedOn w:val="DefaultParagraphFont"/>
    <w:link w:val="BodyText"/>
    <w:uiPriority w:val="99"/>
    <w:semiHidden/>
    <w:locked/>
    <w:rPr>
      <w:rFonts w:ascii="Arial" w:hAnsi="Arial" w:cs="Times New Roman"/>
      <w:sz w:val="20"/>
      <w:szCs w:val="20"/>
      <w:lang w:eastAsia="de-DE"/>
    </w:rPr>
  </w:style>
  <w:style w:type="paragraph" w:styleId="FootnoteText">
    <w:name w:val="footnote text"/>
    <w:basedOn w:val="Normal"/>
    <w:link w:val="FootnoteTextChar"/>
    <w:uiPriority w:val="99"/>
    <w:semiHidden/>
    <w:rsid w:val="00633A2D"/>
    <w:rPr>
      <w:rFonts w:ascii="Times New Roman" w:hAnsi="Times New Roman"/>
      <w:sz w:val="20"/>
      <w:lang w:val="en-US" w:eastAsia="en-US"/>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de-DE"/>
    </w:rPr>
  </w:style>
  <w:style w:type="paragraph" w:styleId="BlockText">
    <w:name w:val="Block Text"/>
    <w:basedOn w:val="Normal"/>
    <w:uiPriority w:val="99"/>
    <w:rsid w:val="00633A2D"/>
    <w:pPr>
      <w:spacing w:before="120" w:after="120"/>
      <w:ind w:left="540" w:right="3402"/>
      <w:jc w:val="both"/>
    </w:pPr>
    <w:rPr>
      <w:bCs/>
      <w:lang w:val="en-GB"/>
    </w:rPr>
  </w:style>
  <w:style w:type="paragraph" w:customStyle="1" w:styleId="CommentSubject1">
    <w:name w:val="Comment Subject1"/>
    <w:basedOn w:val="CommentText"/>
    <w:next w:val="CommentText"/>
    <w:uiPriority w:val="99"/>
    <w:semiHidden/>
    <w:rsid w:val="00633A2D"/>
    <w:rPr>
      <w:b/>
      <w:bCs/>
    </w:rPr>
  </w:style>
  <w:style w:type="paragraph" w:customStyle="1" w:styleId="BalloonText1">
    <w:name w:val="Balloon Text1"/>
    <w:basedOn w:val="Normal"/>
    <w:uiPriority w:val="99"/>
    <w:semiHidden/>
    <w:rsid w:val="00633A2D"/>
    <w:rPr>
      <w:rFonts w:ascii="Tahoma" w:hAnsi="Tahoma" w:cs="Tahoma"/>
      <w:sz w:val="16"/>
      <w:szCs w:val="16"/>
    </w:rPr>
  </w:style>
  <w:style w:type="paragraph" w:styleId="BalloonText">
    <w:name w:val="Balloon Text"/>
    <w:basedOn w:val="Normal"/>
    <w:link w:val="BalloonTextChar"/>
    <w:uiPriority w:val="99"/>
    <w:semiHidden/>
    <w:rsid w:val="002757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de-DE"/>
    </w:rPr>
  </w:style>
  <w:style w:type="paragraph" w:customStyle="1" w:styleId="PQMall2">
    <w:name w:val="PQ Mall 2"/>
    <w:basedOn w:val="BodyText"/>
    <w:link w:val="PQMall2Char"/>
    <w:uiPriority w:val="99"/>
    <w:rsid w:val="00D5149F"/>
    <w:pPr>
      <w:suppressAutoHyphens w:val="0"/>
      <w:spacing w:before="0" w:after="120"/>
    </w:pPr>
    <w:rPr>
      <w:lang w:val="en-GB"/>
    </w:rPr>
  </w:style>
  <w:style w:type="character" w:customStyle="1" w:styleId="PQMall2Char">
    <w:name w:val="PQ Mall 2 Char"/>
    <w:link w:val="PQMall2"/>
    <w:uiPriority w:val="99"/>
    <w:locked/>
    <w:rsid w:val="00D5149F"/>
    <w:rPr>
      <w:rFonts w:ascii="Arial" w:hAnsi="Arial"/>
      <w:sz w:val="22"/>
      <w:lang w:val="en-GB" w:eastAsia="de-DE"/>
    </w:rPr>
  </w:style>
  <w:style w:type="character" w:styleId="FootnoteReference">
    <w:name w:val="footnote reference"/>
    <w:basedOn w:val="DefaultParagraphFont"/>
    <w:uiPriority w:val="99"/>
    <w:semiHidden/>
    <w:rsid w:val="00FF3325"/>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20A4D"/>
    <w:rPr>
      <w:b/>
      <w:bCs/>
    </w:rPr>
  </w:style>
  <w:style w:type="character" w:customStyle="1" w:styleId="CommentSubjectChar">
    <w:name w:val="Comment Subject Char"/>
    <w:basedOn w:val="CommentTextChar"/>
    <w:link w:val="CommentSubject"/>
    <w:uiPriority w:val="99"/>
    <w:semiHidden/>
    <w:rsid w:val="00B20A4D"/>
    <w:rPr>
      <w:rFonts w:ascii="Arial" w:hAnsi="Arial" w:cs="Times New Roman"/>
      <w:b/>
      <w:bCs/>
      <w:sz w:val="20"/>
      <w:szCs w:val="20"/>
      <w:lang w:eastAsia="de-DE"/>
    </w:rPr>
  </w:style>
  <w:style w:type="paragraph" w:styleId="Revision">
    <w:name w:val="Revision"/>
    <w:hidden/>
    <w:uiPriority w:val="99"/>
    <w:semiHidden/>
    <w:rsid w:val="00387684"/>
    <w:rPr>
      <w:rFonts w:ascii="Arial" w:hAnsi="Arial"/>
      <w:szCs w:val="20"/>
      <w:lang w:eastAsia="de-DE"/>
    </w:rPr>
  </w:style>
  <w:style w:type="paragraph" w:styleId="BodyText3">
    <w:name w:val="Body Text 3"/>
    <w:basedOn w:val="Normal"/>
    <w:link w:val="BodyText3Char"/>
    <w:rsid w:val="00781EB9"/>
    <w:pPr>
      <w:spacing w:after="120"/>
    </w:pPr>
    <w:rPr>
      <w:sz w:val="16"/>
      <w:szCs w:val="16"/>
    </w:rPr>
  </w:style>
  <w:style w:type="character" w:customStyle="1" w:styleId="BodyText3Char">
    <w:name w:val="Body Text 3 Char"/>
    <w:basedOn w:val="DefaultParagraphFont"/>
    <w:link w:val="BodyText3"/>
    <w:rsid w:val="00781EB9"/>
    <w:rPr>
      <w:rFonts w:ascii="Arial" w:hAnsi="Arial"/>
      <w:sz w:val="16"/>
      <w:szCs w:val="16"/>
      <w:lang w:eastAsia="de-DE"/>
    </w:rPr>
  </w:style>
  <w:style w:type="paragraph" w:styleId="ListParagraph">
    <w:name w:val="List Paragraph"/>
    <w:aliases w:val="Ha"/>
    <w:basedOn w:val="Normal"/>
    <w:link w:val="ListParagraphChar"/>
    <w:uiPriority w:val="34"/>
    <w:qFormat/>
    <w:rsid w:val="004340BA"/>
    <w:pPr>
      <w:overflowPunct w:val="0"/>
      <w:autoSpaceDE w:val="0"/>
      <w:autoSpaceDN w:val="0"/>
      <w:adjustRightInd w:val="0"/>
      <w:spacing w:after="60" w:line="264" w:lineRule="auto"/>
      <w:ind w:left="720"/>
      <w:jc w:val="both"/>
      <w:textAlignment w:val="baseline"/>
    </w:pPr>
    <w:rPr>
      <w:szCs w:val="24"/>
      <w:lang w:val="en-GB" w:eastAsia="en-GB"/>
    </w:rPr>
  </w:style>
  <w:style w:type="character" w:customStyle="1" w:styleId="ListParagraphChar">
    <w:name w:val="List Paragraph Char"/>
    <w:aliases w:val="Ha Char"/>
    <w:link w:val="ListParagraph"/>
    <w:uiPriority w:val="34"/>
    <w:locked/>
    <w:rsid w:val="004340BA"/>
    <w:rPr>
      <w:rFonts w:ascii="Arial" w:hAnsi="Arial"/>
      <w:szCs w:val="24"/>
      <w:lang w:val="en-GB" w:eastAsia="en-GB"/>
    </w:rPr>
  </w:style>
  <w:style w:type="character" w:customStyle="1" w:styleId="NichtaufgelsteErwhnung1">
    <w:name w:val="Nicht aufgelöste Erwähnung1"/>
    <w:basedOn w:val="DefaultParagraphFont"/>
    <w:uiPriority w:val="99"/>
    <w:semiHidden/>
    <w:unhideWhenUsed/>
    <w:rsid w:val="00EA50CE"/>
    <w:rPr>
      <w:color w:val="808080"/>
      <w:shd w:val="clear" w:color="auto" w:fill="E6E6E6"/>
    </w:rPr>
  </w:style>
  <w:style w:type="character" w:customStyle="1" w:styleId="NichtaufgelsteErwhnung2">
    <w:name w:val="Nicht aufgelöste Erwähnung2"/>
    <w:basedOn w:val="DefaultParagraphFont"/>
    <w:uiPriority w:val="99"/>
    <w:semiHidden/>
    <w:unhideWhenUsed/>
    <w:rsid w:val="00290C6A"/>
    <w:rPr>
      <w:color w:val="605E5C"/>
      <w:shd w:val="clear" w:color="auto" w:fill="E1DFDD"/>
    </w:rPr>
  </w:style>
  <w:style w:type="paragraph" w:customStyle="1" w:styleId="StandardSPs">
    <w:name w:val="Standard_SPs"/>
    <w:basedOn w:val="Normal"/>
    <w:qFormat/>
    <w:rsid w:val="0075469C"/>
    <w:pPr>
      <w:spacing w:before="240" w:line="276" w:lineRule="auto"/>
      <w:ind w:left="1440"/>
      <w:jc w:val="both"/>
    </w:pPr>
    <w:rPr>
      <w:szCs w:val="22"/>
      <w:lang w:val="en-GB"/>
    </w:rPr>
  </w:style>
  <w:style w:type="character" w:customStyle="1" w:styleId="UnresolvedMention">
    <w:name w:val="Unresolved Mention"/>
    <w:basedOn w:val="DefaultParagraphFont"/>
    <w:uiPriority w:val="99"/>
    <w:semiHidden/>
    <w:unhideWhenUsed/>
    <w:rsid w:val="0089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sko.bozovic@epc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BC42-6AF4-40EA-852D-FF2E0D1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Consulting Services</vt:lpstr>
      <vt:lpstr>Consulting Services</vt:lpstr>
    </vt:vector>
  </TitlesOfParts>
  <Company>SWECO</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dc:title>
  <dc:creator>Dr. Christian Brandner</dc:creator>
  <cp:lastModifiedBy>EPCG</cp:lastModifiedBy>
  <cp:revision>3</cp:revision>
  <cp:lastPrinted>2017-08-10T12:40:00Z</cp:lastPrinted>
  <dcterms:created xsi:type="dcterms:W3CDTF">2020-08-03T11:13:00Z</dcterms:created>
  <dcterms:modified xsi:type="dcterms:W3CDTF">2020-08-03T11:16:00Z</dcterms:modified>
</cp:coreProperties>
</file>